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i w:val="0"/>
          <w:color w:val="0B1D3A"/>
          <w:sz w:val="34"/>
        </w:rPr>
        <w:t>THE MOCK CQC INSPECTION TOOLKIT FOR AESTHETIC CLINICS</w:t>
      </w:r>
    </w:p>
    <w:p>
      <w:pPr>
        <w:spacing w:after="120"/>
      </w:pPr>
      <w:r>
        <w:rPr>
          <w:b/>
          <w:i w:val="0"/>
          <w:color w:val="0CBAB0"/>
          <w:sz w:val="23"/>
        </w:rPr>
        <w:t>A half-day self-assessment built on the five key questions</w:t>
      </w:r>
    </w:p>
    <w:p>
      <w:pPr>
        <w:spacing w:after="200"/>
      </w:pPr>
      <w:r>
        <w:rPr>
          <w:b w:val="0"/>
          <w:i w:val="0"/>
          <w:color w:val="6B7C91"/>
          <w:sz w:val="17"/>
        </w:rPr>
        <w:t>Version 2.0 · September 2026 · Free, no registration required · INTENTIQ · intentiq.co.uk · 0333 043 2226</w:t>
      </w:r>
    </w:p>
    <w:tbl>
      <w:tblPr>
        <w:tblStyle w:val="TableGrid"/>
        <w:tblW w:type="auto" w:w="0"/>
        <w:tblLook w:firstColumn="1" w:firstRow="1" w:lastColumn="0" w:lastRow="0" w:noHBand="0" w:noVBand="1" w:val="04A0"/>
      </w:tblPr>
      <w:tblGrid>
        <w:gridCol w:w="2635"/>
        <w:gridCol w:w="2635"/>
        <w:gridCol w:w="2635"/>
        <w:gridCol w:w="2635"/>
      </w:tblGrid>
      <w:tr>
        <w:tc>
          <w:tcPr>
            <w:tcW w:type="dxa" w:w="2635"/>
            <w:shd w:fill="0B1D3A"/>
          </w:tcPr>
          <w:p>
            <w:r>
              <w:rPr>
                <w:b/>
                <w:color w:val="FFFFFF"/>
                <w:sz w:val="16"/>
              </w:rPr>
              <w:t>Clinic name</w:t>
            </w:r>
          </w:p>
        </w:tc>
        <w:tc>
          <w:tcPr>
            <w:tcW w:type="dxa" w:w="2635"/>
            <w:shd w:fill="0B1D3A"/>
          </w:tcPr>
          <w:p>
            <w:r>
              <w:rPr>
                <w:b/>
                <w:color w:val="FFFFFF"/>
                <w:sz w:val="16"/>
              </w:rPr>
              <w:t>Date of mock inspection</w:t>
            </w:r>
          </w:p>
        </w:tc>
        <w:tc>
          <w:tcPr>
            <w:tcW w:type="dxa" w:w="2635"/>
            <w:shd w:fill="0B1D3A"/>
          </w:tcPr>
          <w:p>
            <w:r>
              <w:rPr>
                <w:b/>
                <w:color w:val="FFFFFF"/>
                <w:sz w:val="16"/>
              </w:rPr>
              <w:t>Lead reviewer</w:t>
            </w:r>
          </w:p>
        </w:tc>
        <w:tc>
          <w:tcPr>
            <w:tcW w:type="dxa" w:w="2635"/>
            <w:shd w:fill="0B1D3A"/>
          </w:tcPr>
          <w:p>
            <w:r>
              <w:rPr>
                <w:b/>
                <w:color w:val="FFFFFF"/>
                <w:sz w:val="16"/>
              </w:rPr>
              <w:t>Others present</w:t>
            </w:r>
          </w:p>
        </w:tc>
      </w:tr>
      <w:tr>
        <w:tc>
          <w:tcPr>
            <w:tcW w:type="dxa" w:w="2635"/>
          </w:tcPr>
          <w:p>
            <w:r/>
          </w:p>
        </w:tc>
        <w:tc>
          <w:tcPr>
            <w:tcW w:type="dxa" w:w="2635"/>
          </w:tcPr>
          <w:p>
            <w:r/>
          </w:p>
        </w:tc>
        <w:tc>
          <w:tcPr>
            <w:tcW w:type="dxa" w:w="2635"/>
          </w:tcPr>
          <w:p>
            <w:r/>
          </w:p>
        </w:tc>
        <w:tc>
          <w:tcPr>
            <w:tcW w:type="dxa" w:w="2635"/>
          </w:tcPr>
          <w:p>
            <w:r/>
          </w:p>
        </w:tc>
      </w:tr>
    </w:tbl>
    <w:p>
      <w:pPr>
        <w:spacing w:before="240" w:after="60"/>
      </w:pPr>
      <w:r>
        <w:rPr>
          <w:b/>
          <w:color w:val="0B1D3A"/>
          <w:sz w:val="26"/>
        </w:rPr>
        <w:t>Before you start: why this matters now</w:t>
      </w:r>
    </w:p>
    <w:p>
      <w:pPr>
        <w:spacing w:after="120"/>
      </w:pPr>
      <w:r>
        <w:rPr>
          <w:b w:val="0"/>
          <w:i w:val="0"/>
          <w:sz w:val="19"/>
        </w:rPr>
        <w:t>Four facts about CQC-registered aesthetic clinics in England, from CQC's own public register.</w:t>
      </w:r>
    </w:p>
    <w:tbl>
      <w:tblPr>
        <w:tblStyle w:val="TableGrid"/>
        <w:tblW w:type="auto" w:w="0"/>
        <w:tblLook w:firstColumn="1" w:firstRow="1" w:lastColumn="0" w:lastRow="0" w:noHBand="0" w:noVBand="1" w:val="04A0"/>
      </w:tblPr>
      <w:tblGrid>
        <w:gridCol w:w="5270"/>
        <w:gridCol w:w="5270"/>
      </w:tblGrid>
      <w:tr>
        <w:tc>
          <w:tcPr>
            <w:tcW w:type="dxa" w:w="5270"/>
            <w:shd w:fill="0B1D3A"/>
          </w:tcPr>
          <w:p>
            <w:r>
              <w:rPr>
                <w:b/>
                <w:color w:val="FFFFFF"/>
                <w:sz w:val="22"/>
              </w:rPr>
              <w:t>320</w:t>
            </w:r>
          </w:p>
        </w:tc>
        <w:tc>
          <w:tcPr>
            <w:tcW w:type="dxa" w:w="5270"/>
          </w:tcPr>
          <w:p>
            <w:r>
              <w:rPr>
                <w:sz w:val="19"/>
              </w:rPr>
              <w:t>aesthetic clinic locations on the register</w:t>
            </w:r>
          </w:p>
        </w:tc>
      </w:tr>
      <w:tr>
        <w:tc>
          <w:tcPr>
            <w:tcW w:type="dxa" w:w="5270"/>
            <w:shd w:fill="0B1D3A"/>
          </w:tcPr>
          <w:p>
            <w:r>
              <w:rPr>
                <w:b/>
                <w:color w:val="FFFFFF"/>
                <w:sz w:val="22"/>
              </w:rPr>
              <w:t>133  (41.6%)</w:t>
            </w:r>
          </w:p>
        </w:tc>
        <w:tc>
          <w:tcPr>
            <w:tcW w:type="dxa" w:w="5270"/>
          </w:tcPr>
          <w:p>
            <w:r>
              <w:rPr>
                <w:sz w:val="19"/>
              </w:rPr>
              <w:t>have since come off it</w:t>
            </w:r>
          </w:p>
        </w:tc>
      </w:tr>
      <w:tr>
        <w:tc>
          <w:tcPr>
            <w:tcW w:type="dxa" w:w="5270"/>
            <w:shd w:fill="0B1D3A"/>
          </w:tcPr>
          <w:p>
            <w:r>
              <w:rPr>
                <w:b/>
                <w:color w:val="FFFFFF"/>
                <w:sz w:val="22"/>
              </w:rPr>
              <w:t>117 of 187</w:t>
            </w:r>
          </w:p>
        </w:tc>
        <w:tc>
          <w:tcPr>
            <w:tcW w:type="dxa" w:w="5270"/>
          </w:tcPr>
          <w:p>
            <w:r>
              <w:rPr>
                <w:sz w:val="19"/>
              </w:rPr>
              <w:t>still-registered clinics have no published inspection report at all — 62.6%</w:t>
            </w:r>
          </w:p>
        </w:tc>
      </w:tr>
      <w:tr>
        <w:tc>
          <w:tcPr>
            <w:tcW w:type="dxa" w:w="5270"/>
            <w:shd w:fill="0B1D3A"/>
          </w:tcPr>
          <w:p>
            <w:r>
              <w:rPr>
                <w:b/>
                <w:color w:val="FFFFFF"/>
                <w:sz w:val="22"/>
              </w:rPr>
              <w:t>4.5 years</w:t>
            </w:r>
          </w:p>
        </w:tc>
        <w:tc>
          <w:tcPr>
            <w:tcW w:type="dxa" w:w="5270"/>
          </w:tcPr>
          <w:p>
            <w:r>
              <w:rPr>
                <w:sz w:val="19"/>
              </w:rPr>
              <w:t>median age of an existing rating. 94% are more than 3 years old; the oldest is 9.6 years</w:t>
            </w:r>
          </w:p>
        </w:tc>
      </w:tr>
    </w:tbl>
    <w:p>
      <w:pPr>
        <w:spacing w:after="100"/>
      </w:pPr>
      <w:r>
        <w:rPr>
          <w:b w:val="0"/>
          <w:i w:val="0"/>
          <w:sz w:val="19"/>
        </w:rPr>
        <w:t>Deregistration happens for many reasons — a clinic closes, restructures, moves, or stops carrying out a regulated activity. It is not in itself a mark of failure. But most registered aesthetic clinics have never been inspected, and most of those that have carry a judgement made nearer 2022 than today.</w:t>
      </w:r>
    </w:p>
    <w:p>
      <w:pPr>
        <w:spacing w:after="100"/>
      </w:pPr>
      <w:r>
        <w:rPr>
          <w:b w:val="0"/>
          <w:i w:val="0"/>
          <w:sz w:val="19"/>
        </w:rPr>
        <w:t>In August 2026 CQC reported completing 9,646 assessments against a 9,000 target, and said it had "introduced new ways of prioritising our activity so that we can carry out more assessments and address some of the challenges associated with aged ratings and services that have not yet been assessed."</w:t>
      </w:r>
    </w:p>
    <w:p>
      <w:pPr>
        <w:spacing w:after="160"/>
      </w:pPr>
      <w:r>
        <w:rPr>
          <w:b/>
          <w:i w:val="0"/>
          <w:color w:val="0B1D3A"/>
          <w:sz w:val="19"/>
        </w:rPr>
        <w:t>What that means for you: if your clinic has never been assessed, or your rating is several years old, you have moved from the back of the queue toward the front.</w:t>
      </w:r>
    </w:p>
    <w:p>
      <w:pPr>
        <w:spacing w:before="240" w:after="60"/>
      </w:pPr>
      <w:r>
        <w:rPr>
          <w:b/>
          <w:color w:val="0B1D3A"/>
          <w:sz w:val="26"/>
        </w:rPr>
        <w:t>How to use this</w:t>
      </w:r>
    </w:p>
    <w:p>
      <w:pPr>
        <w:spacing w:after="100"/>
      </w:pPr>
      <w:r>
        <w:rPr>
          <w:b w:val="0"/>
          <w:i w:val="0"/>
          <w:sz w:val="19"/>
        </w:rPr>
        <w:t>Block out half a day. Work through the five key questions in order. For each check, do not ask "do we have a policy on this?" Ask "what would I put in front of an inspector in the next ten minutes, and would it stand up?"</w:t>
      </w:r>
    </w:p>
    <w:p>
      <w:pPr>
        <w:spacing w:after="80"/>
      </w:pPr>
      <w:r>
        <w:rPr>
          <w:b/>
          <w:i w:val="0"/>
          <w:sz w:val="19"/>
        </w:rPr>
        <w:t>Mark each check one of three ways. There is deliberately no score.</w:t>
      </w:r>
    </w:p>
    <w:p>
      <w:pPr>
        <w:pStyle w:val="ListBullet"/>
        <w:spacing w:after="40"/>
      </w:pPr>
      <w:r>
        <w:rPr>
          <w:sz w:val="19"/>
        </w:rPr>
        <w:t>Evidenced — a record exists, is current, and a member of staff could find it</w:t>
      </w:r>
    </w:p>
    <w:p>
      <w:pPr>
        <w:pStyle w:val="ListBullet"/>
        <w:spacing w:after="40"/>
      </w:pPr>
      <w:r>
        <w:rPr>
          <w:sz w:val="19"/>
        </w:rPr>
        <w:t>Partly evidenced — it exists but is out of date, incomplete, or only you know where it is</w:t>
      </w:r>
    </w:p>
    <w:p>
      <w:pPr>
        <w:pStyle w:val="ListBullet"/>
        <w:spacing w:after="40"/>
      </w:pPr>
      <w:r>
        <w:rPr>
          <w:sz w:val="19"/>
        </w:rPr>
        <w:t>Not evidenced — nothing you could show</w:t>
      </w:r>
    </w:p>
    <w:p>
      <w:pPr>
        <w:spacing w:after="160"/>
      </w:pPr>
      <w:r>
        <w:rPr>
          <w:b w:val="0"/>
          <w:i w:val="0"/>
          <w:sz w:val="19"/>
        </w:rPr>
        <w:t>CQC has confirmed it is removing scoring from its own assessment approach in favour of holistic professional judgement, so a percentage would tell you less than an honest three-way mark. Anything not fully evidenced goes on the action log at the back. Each check cites the specific regulation it relates to, from the Health and Social Care Act 2008 (Regulated Activities) Regulations 2014.</w:t>
      </w:r>
    </w:p>
    <w:p>
      <w:pPr>
        <w:spacing w:before="240" w:after="60"/>
      </w:pPr>
      <w:r>
        <w:rPr>
          <w:b/>
          <w:color w:val="0B1D3A"/>
          <w:sz w:val="26"/>
        </w:rPr>
        <w:t>1. SAFE</w:t>
      </w:r>
    </w:p>
    <w:p>
      <w:pPr>
        <w:spacing w:after="120"/>
      </w:pPr>
      <w:r>
        <w:rPr>
          <w:b w:val="0"/>
          <w:i/>
          <w:color w:val="5C4A2E"/>
          <w:sz w:val="17"/>
        </w:rPr>
        <w:t>Joint weakest area in our dataset: 9 of 153 rated clinics were Requires improvement or Inadequate on Safe — level with Well-led, and the highest of the five key questions.</w:t>
      </w:r>
    </w:p>
    <w:p>
      <w:pPr>
        <w:spacing w:before="120" w:after="40"/>
      </w:pPr>
      <w:r>
        <w:rPr>
          <w:b/>
          <w:color w:val="0B1D3A"/>
          <w:sz w:val="17"/>
        </w:rPr>
        <w:t>MEDICINES AND EMERGENCY PROVISION</w:t>
      </w:r>
    </w:p>
    <w:tbl>
      <w:tblPr>
        <w:tblStyle w:val="TableGrid"/>
        <w:tblW w:type="auto" w:w="0"/>
        <w:tblLook w:firstColumn="1" w:firstRow="1" w:lastColumn="0" w:lastRow="0" w:noHBand="0" w:noVBand="1" w:val="04A0"/>
      </w:tblPr>
      <w:tblGrid>
        <w:gridCol w:w="2635"/>
        <w:gridCol w:w="2635"/>
        <w:gridCol w:w="2635"/>
        <w:gridCol w:w="2635"/>
      </w:tblGrid>
      <w:tr>
        <w:tc>
          <w:tcPr>
            <w:tcW w:type="dxa" w:w="567"/>
            <w:shd w:fill="0B1D3A"/>
          </w:tcPr>
          <w:p>
            <w:r>
              <w:rPr>
                <w:b/>
                <w:color w:val="FFFFFF"/>
                <w:sz w:val="15"/>
              </w:rPr>
              <w:t>#</w:t>
            </w:r>
          </w:p>
        </w:tc>
        <w:tc>
          <w:tcPr>
            <w:tcW w:type="dxa" w:w="7030"/>
            <w:shd w:fill="0B1D3A"/>
          </w:tcPr>
          <w:p>
            <w:r>
              <w:rPr>
                <w:b/>
                <w:color w:val="FFFFFF"/>
                <w:sz w:val="15"/>
              </w:rPr>
              <w:t>Check — and the evidence an inspector would expect</w:t>
            </w:r>
          </w:p>
        </w:tc>
        <w:tc>
          <w:tcPr>
            <w:tcW w:type="dxa" w:w="1247"/>
            <w:shd w:fill="0B1D3A"/>
          </w:tcPr>
          <w:p>
            <w:r>
              <w:rPr>
                <w:b/>
                <w:color w:val="FFFFFF"/>
                <w:sz w:val="15"/>
              </w:rPr>
              <w:t>Reg</w:t>
            </w:r>
          </w:p>
        </w:tc>
        <w:tc>
          <w:tcPr>
            <w:tcW w:type="dxa" w:w="1361"/>
            <w:shd w:fill="0B1D3A"/>
          </w:tcPr>
          <w:p>
            <w:r>
              <w:rPr>
                <w:b/>
                <w:color w:val="FFFFFF"/>
                <w:sz w:val="15"/>
              </w:rPr>
              <w:t>Mark</w:t>
            </w:r>
          </w:p>
        </w:tc>
      </w:tr>
      <w:tr>
        <w:tc>
          <w:tcPr>
            <w:tcW w:type="dxa" w:w="567"/>
          </w:tcPr>
          <w:p>
            <w:r>
              <w:rPr>
                <w:sz w:val="17"/>
              </w:rPr>
              <w:t>1</w:t>
            </w:r>
          </w:p>
        </w:tc>
        <w:tc>
          <w:tcPr>
            <w:tcW w:type="dxa" w:w="7030"/>
          </w:tcPr>
          <w:p>
            <w:r>
              <w:rPr>
                <w:sz w:val="17"/>
              </w:rPr>
              <w:t>Emergency drugs are in date, and a dated check log shows who verified them and when.</w:t>
            </w:r>
          </w:p>
        </w:tc>
        <w:tc>
          <w:tcPr>
            <w:tcW w:type="dxa" w:w="1247"/>
          </w:tcPr>
          <w:p>
            <w:r>
              <w:rPr>
                <w:sz w:val="17"/>
              </w:rPr>
              <w:t>Reg 12</w:t>
            </w:r>
          </w:p>
        </w:tc>
        <w:tc>
          <w:tcPr>
            <w:tcW w:type="dxa" w:w="1361"/>
          </w:tcPr>
          <w:p>
            <w:r>
              <w:rPr>
                <w:sz w:val="17"/>
              </w:rPr>
            </w:r>
          </w:p>
        </w:tc>
      </w:tr>
      <w:tr>
        <w:tc>
          <w:tcPr>
            <w:tcW w:type="dxa" w:w="567"/>
          </w:tcPr>
          <w:p>
            <w:r>
              <w:rPr>
                <w:sz w:val="17"/>
              </w:rPr>
              <w:t>2</w:t>
            </w:r>
          </w:p>
        </w:tc>
        <w:tc>
          <w:tcPr>
            <w:tcW w:type="dxa" w:w="7030"/>
          </w:tcPr>
          <w:p>
            <w:r>
              <w:rPr>
                <w:sz w:val="17"/>
              </w:rPr>
              <w:t>Adrenaline is immediately available wherever toxin or filler is administered, with an in-date anaphylaxis protocol displayed, not filed.</w:t>
            </w:r>
          </w:p>
        </w:tc>
        <w:tc>
          <w:tcPr>
            <w:tcW w:type="dxa" w:w="1247"/>
          </w:tcPr>
          <w:p>
            <w:r>
              <w:rPr>
                <w:sz w:val="17"/>
              </w:rPr>
              <w:t>Reg 12</w:t>
            </w:r>
          </w:p>
        </w:tc>
        <w:tc>
          <w:tcPr>
            <w:tcW w:type="dxa" w:w="1361"/>
          </w:tcPr>
          <w:p>
            <w:r>
              <w:rPr>
                <w:sz w:val="17"/>
              </w:rPr>
            </w:r>
          </w:p>
        </w:tc>
      </w:tr>
      <w:tr>
        <w:tc>
          <w:tcPr>
            <w:tcW w:type="dxa" w:w="567"/>
          </w:tcPr>
          <w:p>
            <w:r>
              <w:rPr>
                <w:sz w:val="17"/>
              </w:rPr>
              <w:t>3</w:t>
            </w:r>
          </w:p>
        </w:tc>
        <w:tc>
          <w:tcPr>
            <w:tcW w:type="dxa" w:w="7030"/>
          </w:tcPr>
          <w:p>
            <w:r>
              <w:rPr>
                <w:sz w:val="17"/>
              </w:rPr>
              <w:t>Hyaluronidase is stocked and accessible for management of vascular occlusion, with a written pathway naming who does what.</w:t>
            </w:r>
          </w:p>
        </w:tc>
        <w:tc>
          <w:tcPr>
            <w:tcW w:type="dxa" w:w="1247"/>
          </w:tcPr>
          <w:p>
            <w:r>
              <w:rPr>
                <w:sz w:val="17"/>
              </w:rPr>
              <w:t>Reg 12</w:t>
            </w:r>
          </w:p>
        </w:tc>
        <w:tc>
          <w:tcPr>
            <w:tcW w:type="dxa" w:w="1361"/>
          </w:tcPr>
          <w:p>
            <w:r>
              <w:rPr>
                <w:sz w:val="17"/>
              </w:rPr>
            </w:r>
          </w:p>
        </w:tc>
      </w:tr>
      <w:tr>
        <w:tc>
          <w:tcPr>
            <w:tcW w:type="dxa" w:w="567"/>
          </w:tcPr>
          <w:p>
            <w:r>
              <w:rPr>
                <w:sz w:val="17"/>
              </w:rPr>
              <w:t>4</w:t>
            </w:r>
          </w:p>
        </w:tc>
        <w:tc>
          <w:tcPr>
            <w:tcW w:type="dxa" w:w="7030"/>
          </w:tcPr>
          <w:p>
            <w:r>
              <w:rPr>
                <w:sz w:val="17"/>
              </w:rPr>
              <w:t>Fridge temperature is logged every day the clinic operates, with a recorded action for any out-of-range reading.</w:t>
            </w:r>
          </w:p>
        </w:tc>
        <w:tc>
          <w:tcPr>
            <w:tcW w:type="dxa" w:w="1247"/>
          </w:tcPr>
          <w:p>
            <w:r>
              <w:rPr>
                <w:sz w:val="17"/>
              </w:rPr>
              <w:t>Reg 12</w:t>
            </w:r>
          </w:p>
        </w:tc>
        <w:tc>
          <w:tcPr>
            <w:tcW w:type="dxa" w:w="1361"/>
          </w:tcPr>
          <w:p>
            <w:r>
              <w:rPr>
                <w:sz w:val="17"/>
              </w:rPr>
            </w:r>
          </w:p>
        </w:tc>
      </w:tr>
      <w:tr>
        <w:tc>
          <w:tcPr>
            <w:tcW w:type="dxa" w:w="567"/>
          </w:tcPr>
          <w:p>
            <w:r>
              <w:rPr>
                <w:sz w:val="17"/>
              </w:rPr>
              <w:t>5</w:t>
            </w:r>
          </w:p>
        </w:tc>
        <w:tc>
          <w:tcPr>
            <w:tcW w:type="dxa" w:w="7030"/>
          </w:tcPr>
          <w:p>
            <w:r>
              <w:rPr>
                <w:sz w:val="17"/>
              </w:rPr>
              <w:t>Prescription-only medicines are traceable from receipt to administration on a named-patient basis.</w:t>
            </w:r>
          </w:p>
        </w:tc>
        <w:tc>
          <w:tcPr>
            <w:tcW w:type="dxa" w:w="1247"/>
          </w:tcPr>
          <w:p>
            <w:r>
              <w:rPr>
                <w:sz w:val="17"/>
              </w:rPr>
              <w:t>Reg 12</w:t>
            </w:r>
          </w:p>
        </w:tc>
        <w:tc>
          <w:tcPr>
            <w:tcW w:type="dxa" w:w="1361"/>
          </w:tcPr>
          <w:p>
            <w:r>
              <w:rPr>
                <w:sz w:val="17"/>
              </w:rPr>
            </w:r>
          </w:p>
        </w:tc>
      </w:tr>
      <w:tr>
        <w:tc>
          <w:tcPr>
            <w:tcW w:type="dxa" w:w="567"/>
          </w:tcPr>
          <w:p>
            <w:r>
              <w:rPr>
                <w:sz w:val="17"/>
              </w:rPr>
              <w:t>6</w:t>
            </w:r>
          </w:p>
        </w:tc>
        <w:tc>
          <w:tcPr>
            <w:tcW w:type="dxa" w:w="7030"/>
          </w:tcPr>
          <w:p>
            <w:r>
              <w:rPr>
                <w:sz w:val="17"/>
              </w:rPr>
              <w:t>Every prescription follows a face-to-face assessment by the prescriber, and the record shows it.</w:t>
            </w:r>
          </w:p>
        </w:tc>
        <w:tc>
          <w:tcPr>
            <w:tcW w:type="dxa" w:w="1247"/>
          </w:tcPr>
          <w:p>
            <w:r>
              <w:rPr>
                <w:sz w:val="17"/>
              </w:rPr>
              <w:t>Reg 12</w:t>
            </w:r>
          </w:p>
        </w:tc>
        <w:tc>
          <w:tcPr>
            <w:tcW w:type="dxa" w:w="1361"/>
          </w:tcPr>
          <w:p>
            <w:r>
              <w:rPr>
                <w:sz w:val="17"/>
              </w:rPr>
            </w:r>
          </w:p>
        </w:tc>
      </w:tr>
    </w:tbl>
    <w:p>
      <w:pPr>
        <w:spacing w:before="120" w:after="40"/>
      </w:pPr>
      <w:r>
        <w:rPr>
          <w:b/>
          <w:color w:val="0B1D3A"/>
          <w:sz w:val="17"/>
        </w:rPr>
        <w:t>INFECTION PREVENTION AND ENVIRONMENT</w:t>
      </w:r>
    </w:p>
    <w:tbl>
      <w:tblPr>
        <w:tblStyle w:val="TableGrid"/>
        <w:tblW w:type="auto" w:w="0"/>
        <w:tblLook w:firstColumn="1" w:firstRow="1" w:lastColumn="0" w:lastRow="0" w:noHBand="0" w:noVBand="1" w:val="04A0"/>
      </w:tblPr>
      <w:tblGrid>
        <w:gridCol w:w="2635"/>
        <w:gridCol w:w="2635"/>
        <w:gridCol w:w="2635"/>
        <w:gridCol w:w="2635"/>
      </w:tblGrid>
      <w:tr>
        <w:tc>
          <w:tcPr>
            <w:tcW w:type="dxa" w:w="567"/>
            <w:shd w:fill="0B1D3A"/>
          </w:tcPr>
          <w:p>
            <w:r>
              <w:rPr>
                <w:b/>
                <w:color w:val="FFFFFF"/>
                <w:sz w:val="15"/>
              </w:rPr>
              <w:t>#</w:t>
            </w:r>
          </w:p>
        </w:tc>
        <w:tc>
          <w:tcPr>
            <w:tcW w:type="dxa" w:w="7030"/>
            <w:shd w:fill="0B1D3A"/>
          </w:tcPr>
          <w:p>
            <w:r>
              <w:rPr>
                <w:b/>
                <w:color w:val="FFFFFF"/>
                <w:sz w:val="15"/>
              </w:rPr>
              <w:t>Check — and the evidence an inspector would expect</w:t>
            </w:r>
          </w:p>
        </w:tc>
        <w:tc>
          <w:tcPr>
            <w:tcW w:type="dxa" w:w="1247"/>
            <w:shd w:fill="0B1D3A"/>
          </w:tcPr>
          <w:p>
            <w:r>
              <w:rPr>
                <w:b/>
                <w:color w:val="FFFFFF"/>
                <w:sz w:val="15"/>
              </w:rPr>
              <w:t>Reg</w:t>
            </w:r>
          </w:p>
        </w:tc>
        <w:tc>
          <w:tcPr>
            <w:tcW w:type="dxa" w:w="1361"/>
            <w:shd w:fill="0B1D3A"/>
          </w:tcPr>
          <w:p>
            <w:r>
              <w:rPr>
                <w:b/>
                <w:color w:val="FFFFFF"/>
                <w:sz w:val="15"/>
              </w:rPr>
              <w:t>Mark</w:t>
            </w:r>
          </w:p>
        </w:tc>
      </w:tr>
      <w:tr>
        <w:tc>
          <w:tcPr>
            <w:tcW w:type="dxa" w:w="567"/>
          </w:tcPr>
          <w:p>
            <w:r>
              <w:rPr>
                <w:sz w:val="17"/>
              </w:rPr>
              <w:t>7</w:t>
            </w:r>
          </w:p>
        </w:tc>
        <w:tc>
          <w:tcPr>
            <w:tcW w:type="dxa" w:w="7030"/>
          </w:tcPr>
          <w:p>
            <w:r>
              <w:rPr>
                <w:sz w:val="17"/>
              </w:rPr>
              <w:t>Sharps are disposed of in compliant containers, signed and dated on assembly and on closure.</w:t>
            </w:r>
          </w:p>
        </w:tc>
        <w:tc>
          <w:tcPr>
            <w:tcW w:type="dxa" w:w="1247"/>
          </w:tcPr>
          <w:p>
            <w:r>
              <w:rPr>
                <w:sz w:val="17"/>
              </w:rPr>
              <w:t>Reg 12, 15</w:t>
            </w:r>
          </w:p>
        </w:tc>
        <w:tc>
          <w:tcPr>
            <w:tcW w:type="dxa" w:w="1361"/>
          </w:tcPr>
          <w:p>
            <w:r>
              <w:rPr>
                <w:sz w:val="17"/>
              </w:rPr>
            </w:r>
          </w:p>
        </w:tc>
      </w:tr>
      <w:tr>
        <w:tc>
          <w:tcPr>
            <w:tcW w:type="dxa" w:w="567"/>
          </w:tcPr>
          <w:p>
            <w:r>
              <w:rPr>
                <w:sz w:val="17"/>
              </w:rPr>
              <w:t>8</w:t>
            </w:r>
          </w:p>
        </w:tc>
        <w:tc>
          <w:tcPr>
            <w:tcW w:type="dxa" w:w="7030"/>
          </w:tcPr>
          <w:p>
            <w:r>
              <w:rPr>
                <w:sz w:val="17"/>
              </w:rPr>
              <w:t>A clinical waste consignment note trail exists for the last 12 months.</w:t>
            </w:r>
          </w:p>
        </w:tc>
        <w:tc>
          <w:tcPr>
            <w:tcW w:type="dxa" w:w="1247"/>
          </w:tcPr>
          <w:p>
            <w:r>
              <w:rPr>
                <w:sz w:val="17"/>
              </w:rPr>
              <w:t>Reg 15</w:t>
            </w:r>
          </w:p>
        </w:tc>
        <w:tc>
          <w:tcPr>
            <w:tcW w:type="dxa" w:w="1361"/>
          </w:tcPr>
          <w:p>
            <w:r>
              <w:rPr>
                <w:sz w:val="17"/>
              </w:rPr>
            </w:r>
          </w:p>
        </w:tc>
      </w:tr>
      <w:tr>
        <w:tc>
          <w:tcPr>
            <w:tcW w:type="dxa" w:w="567"/>
          </w:tcPr>
          <w:p>
            <w:r>
              <w:rPr>
                <w:sz w:val="17"/>
              </w:rPr>
              <w:t>9</w:t>
            </w:r>
          </w:p>
        </w:tc>
        <w:tc>
          <w:tcPr>
            <w:tcW w:type="dxa" w:w="7030"/>
          </w:tcPr>
          <w:p>
            <w:r>
              <w:rPr>
                <w:sz w:val="17"/>
              </w:rPr>
              <w:t>Cleaning schedules are signed off, not just printed.</w:t>
            </w:r>
          </w:p>
        </w:tc>
        <w:tc>
          <w:tcPr>
            <w:tcW w:type="dxa" w:w="1247"/>
          </w:tcPr>
          <w:p>
            <w:r>
              <w:rPr>
                <w:sz w:val="17"/>
              </w:rPr>
              <w:t>Reg 15</w:t>
            </w:r>
          </w:p>
        </w:tc>
        <w:tc>
          <w:tcPr>
            <w:tcW w:type="dxa" w:w="1361"/>
          </w:tcPr>
          <w:p>
            <w:r>
              <w:rPr>
                <w:sz w:val="17"/>
              </w:rPr>
            </w:r>
          </w:p>
        </w:tc>
      </w:tr>
      <w:tr>
        <w:tc>
          <w:tcPr>
            <w:tcW w:type="dxa" w:w="567"/>
          </w:tcPr>
          <w:p>
            <w:r>
              <w:rPr>
                <w:sz w:val="17"/>
              </w:rPr>
              <w:t>10</w:t>
            </w:r>
          </w:p>
        </w:tc>
        <w:tc>
          <w:tcPr>
            <w:tcW w:type="dxa" w:w="7030"/>
          </w:tcPr>
          <w:p>
            <w:r>
              <w:rPr>
                <w:sz w:val="17"/>
              </w:rPr>
              <w:t>Single-use items are genuinely single-use, and staff can say so unprompted.</w:t>
            </w:r>
          </w:p>
        </w:tc>
        <w:tc>
          <w:tcPr>
            <w:tcW w:type="dxa" w:w="1247"/>
          </w:tcPr>
          <w:p>
            <w:r>
              <w:rPr>
                <w:sz w:val="17"/>
              </w:rPr>
              <w:t>Reg 12</w:t>
            </w:r>
          </w:p>
        </w:tc>
        <w:tc>
          <w:tcPr>
            <w:tcW w:type="dxa" w:w="1361"/>
          </w:tcPr>
          <w:p>
            <w:r>
              <w:rPr>
                <w:sz w:val="17"/>
              </w:rPr>
            </w:r>
          </w:p>
        </w:tc>
      </w:tr>
    </w:tbl>
    <w:p>
      <w:pPr>
        <w:spacing w:before="120" w:after="40"/>
      </w:pPr>
      <w:r>
        <w:rPr>
          <w:b/>
          <w:color w:val="0B1D3A"/>
          <w:sz w:val="17"/>
        </w:rPr>
        <w:t>EQUIPMENT</w:t>
      </w:r>
    </w:p>
    <w:tbl>
      <w:tblPr>
        <w:tblStyle w:val="TableGrid"/>
        <w:tblW w:type="auto" w:w="0"/>
        <w:tblLook w:firstColumn="1" w:firstRow="1" w:lastColumn="0" w:lastRow="0" w:noHBand="0" w:noVBand="1" w:val="04A0"/>
      </w:tblPr>
      <w:tblGrid>
        <w:gridCol w:w="2635"/>
        <w:gridCol w:w="2635"/>
        <w:gridCol w:w="2635"/>
        <w:gridCol w:w="2635"/>
      </w:tblGrid>
      <w:tr>
        <w:tc>
          <w:tcPr>
            <w:tcW w:type="dxa" w:w="567"/>
            <w:shd w:fill="0B1D3A"/>
          </w:tcPr>
          <w:p>
            <w:r>
              <w:rPr>
                <w:b/>
                <w:color w:val="FFFFFF"/>
                <w:sz w:val="15"/>
              </w:rPr>
              <w:t>#</w:t>
            </w:r>
          </w:p>
        </w:tc>
        <w:tc>
          <w:tcPr>
            <w:tcW w:type="dxa" w:w="7030"/>
            <w:shd w:fill="0B1D3A"/>
          </w:tcPr>
          <w:p>
            <w:r>
              <w:rPr>
                <w:b/>
                <w:color w:val="FFFFFF"/>
                <w:sz w:val="15"/>
              </w:rPr>
              <w:t>Check — and the evidence an inspector would expect</w:t>
            </w:r>
          </w:p>
        </w:tc>
        <w:tc>
          <w:tcPr>
            <w:tcW w:type="dxa" w:w="1247"/>
            <w:shd w:fill="0B1D3A"/>
          </w:tcPr>
          <w:p>
            <w:r>
              <w:rPr>
                <w:b/>
                <w:color w:val="FFFFFF"/>
                <w:sz w:val="15"/>
              </w:rPr>
              <w:t>Reg</w:t>
            </w:r>
          </w:p>
        </w:tc>
        <w:tc>
          <w:tcPr>
            <w:tcW w:type="dxa" w:w="1361"/>
            <w:shd w:fill="0B1D3A"/>
          </w:tcPr>
          <w:p>
            <w:r>
              <w:rPr>
                <w:b/>
                <w:color w:val="FFFFFF"/>
                <w:sz w:val="15"/>
              </w:rPr>
              <w:t>Mark</w:t>
            </w:r>
          </w:p>
        </w:tc>
      </w:tr>
      <w:tr>
        <w:tc>
          <w:tcPr>
            <w:tcW w:type="dxa" w:w="567"/>
          </w:tcPr>
          <w:p>
            <w:r>
              <w:rPr>
                <w:sz w:val="17"/>
              </w:rPr>
              <w:t>11</w:t>
            </w:r>
          </w:p>
        </w:tc>
        <w:tc>
          <w:tcPr>
            <w:tcW w:type="dxa" w:w="7030"/>
          </w:tcPr>
          <w:p>
            <w:r>
              <w:rPr>
                <w:sz w:val="17"/>
              </w:rPr>
              <w:t>Electrical equipment holds in-date servicing or calibration certificates.</w:t>
            </w:r>
          </w:p>
        </w:tc>
        <w:tc>
          <w:tcPr>
            <w:tcW w:type="dxa" w:w="1247"/>
          </w:tcPr>
          <w:p>
            <w:r>
              <w:rPr>
                <w:sz w:val="17"/>
              </w:rPr>
              <w:t>Reg 15</w:t>
            </w:r>
          </w:p>
        </w:tc>
        <w:tc>
          <w:tcPr>
            <w:tcW w:type="dxa" w:w="1361"/>
          </w:tcPr>
          <w:p>
            <w:r>
              <w:rPr>
                <w:sz w:val="17"/>
              </w:rPr>
            </w:r>
          </w:p>
        </w:tc>
      </w:tr>
      <w:tr>
        <w:tc>
          <w:tcPr>
            <w:tcW w:type="dxa" w:w="567"/>
          </w:tcPr>
          <w:p>
            <w:r>
              <w:rPr>
                <w:sz w:val="17"/>
              </w:rPr>
              <w:t>12</w:t>
            </w:r>
          </w:p>
        </w:tc>
        <w:tc>
          <w:tcPr>
            <w:tcW w:type="dxa" w:w="7030"/>
          </w:tcPr>
          <w:p>
            <w:r>
              <w:rPr>
                <w:sz w:val="17"/>
              </w:rPr>
              <w:t>Any laser or IPL device has current servicing records and a named responsible person.</w:t>
            </w:r>
          </w:p>
        </w:tc>
        <w:tc>
          <w:tcPr>
            <w:tcW w:type="dxa" w:w="1247"/>
          </w:tcPr>
          <w:p>
            <w:r>
              <w:rPr>
                <w:sz w:val="17"/>
              </w:rPr>
              <w:t>Reg 15</w:t>
            </w:r>
          </w:p>
        </w:tc>
        <w:tc>
          <w:tcPr>
            <w:tcW w:type="dxa" w:w="1361"/>
          </w:tcPr>
          <w:p>
            <w:r>
              <w:rPr>
                <w:sz w:val="17"/>
              </w:rPr>
            </w:r>
          </w:p>
        </w:tc>
      </w:tr>
    </w:tbl>
    <w:p>
      <w:pPr>
        <w:spacing w:before="120" w:after="40"/>
      </w:pPr>
      <w:r>
        <w:rPr>
          <w:b/>
          <w:color w:val="0B1D3A"/>
          <w:sz w:val="17"/>
        </w:rPr>
        <w:t>RISK AND INCIDENTS</w:t>
      </w:r>
    </w:p>
    <w:tbl>
      <w:tblPr>
        <w:tblStyle w:val="TableGrid"/>
        <w:tblW w:type="auto" w:w="0"/>
        <w:tblLook w:firstColumn="1" w:firstRow="1" w:lastColumn="0" w:lastRow="0" w:noHBand="0" w:noVBand="1" w:val="04A0"/>
      </w:tblPr>
      <w:tblGrid>
        <w:gridCol w:w="2635"/>
        <w:gridCol w:w="2635"/>
        <w:gridCol w:w="2635"/>
        <w:gridCol w:w="2635"/>
      </w:tblGrid>
      <w:tr>
        <w:tc>
          <w:tcPr>
            <w:tcW w:type="dxa" w:w="567"/>
            <w:shd w:fill="0B1D3A"/>
          </w:tcPr>
          <w:p>
            <w:r>
              <w:rPr>
                <w:b/>
                <w:color w:val="FFFFFF"/>
                <w:sz w:val="15"/>
              </w:rPr>
              <w:t>#</w:t>
            </w:r>
          </w:p>
        </w:tc>
        <w:tc>
          <w:tcPr>
            <w:tcW w:type="dxa" w:w="7030"/>
            <w:shd w:fill="0B1D3A"/>
          </w:tcPr>
          <w:p>
            <w:r>
              <w:rPr>
                <w:b/>
                <w:color w:val="FFFFFF"/>
                <w:sz w:val="15"/>
              </w:rPr>
              <w:t>Check — and the evidence an inspector would expect</w:t>
            </w:r>
          </w:p>
        </w:tc>
        <w:tc>
          <w:tcPr>
            <w:tcW w:type="dxa" w:w="1247"/>
            <w:shd w:fill="0B1D3A"/>
          </w:tcPr>
          <w:p>
            <w:r>
              <w:rPr>
                <w:b/>
                <w:color w:val="FFFFFF"/>
                <w:sz w:val="15"/>
              </w:rPr>
              <w:t>Reg</w:t>
            </w:r>
          </w:p>
        </w:tc>
        <w:tc>
          <w:tcPr>
            <w:tcW w:type="dxa" w:w="1361"/>
            <w:shd w:fill="0B1D3A"/>
          </w:tcPr>
          <w:p>
            <w:r>
              <w:rPr>
                <w:b/>
                <w:color w:val="FFFFFF"/>
                <w:sz w:val="15"/>
              </w:rPr>
              <w:t>Mark</w:t>
            </w:r>
          </w:p>
        </w:tc>
      </w:tr>
      <w:tr>
        <w:tc>
          <w:tcPr>
            <w:tcW w:type="dxa" w:w="567"/>
          </w:tcPr>
          <w:p>
            <w:r>
              <w:rPr>
                <w:sz w:val="17"/>
              </w:rPr>
              <w:t>13</w:t>
            </w:r>
          </w:p>
        </w:tc>
        <w:tc>
          <w:tcPr>
            <w:tcW w:type="dxa" w:w="7030"/>
          </w:tcPr>
          <w:p>
            <w:r>
              <w:rPr>
                <w:sz w:val="17"/>
              </w:rPr>
              <w:t>An incident log exists, and every entry has a documented outcome, not just a description.</w:t>
            </w:r>
          </w:p>
        </w:tc>
        <w:tc>
          <w:tcPr>
            <w:tcW w:type="dxa" w:w="1247"/>
          </w:tcPr>
          <w:p>
            <w:r>
              <w:rPr>
                <w:sz w:val="17"/>
              </w:rPr>
              <w:t>Reg 12, 17</w:t>
            </w:r>
          </w:p>
        </w:tc>
        <w:tc>
          <w:tcPr>
            <w:tcW w:type="dxa" w:w="1361"/>
          </w:tcPr>
          <w:p>
            <w:r>
              <w:rPr>
                <w:sz w:val="17"/>
              </w:rPr>
            </w:r>
          </w:p>
        </w:tc>
      </w:tr>
      <w:tr>
        <w:tc>
          <w:tcPr>
            <w:tcW w:type="dxa" w:w="567"/>
          </w:tcPr>
          <w:p>
            <w:r>
              <w:rPr>
                <w:sz w:val="17"/>
              </w:rPr>
              <w:t>14</w:t>
            </w:r>
          </w:p>
        </w:tc>
        <w:tc>
          <w:tcPr>
            <w:tcW w:type="dxa" w:w="7030"/>
          </w:tcPr>
          <w:p>
            <w:r>
              <w:rPr>
                <w:sz w:val="17"/>
              </w:rPr>
              <w:t>A risk register exists and has been reviewed within the last 12 months, with dated evidence of the review.</w:t>
            </w:r>
          </w:p>
        </w:tc>
        <w:tc>
          <w:tcPr>
            <w:tcW w:type="dxa" w:w="1247"/>
          </w:tcPr>
          <w:p>
            <w:r>
              <w:rPr>
                <w:sz w:val="17"/>
              </w:rPr>
              <w:t>Reg 17</w:t>
            </w:r>
          </w:p>
        </w:tc>
        <w:tc>
          <w:tcPr>
            <w:tcW w:type="dxa" w:w="1361"/>
          </w:tcPr>
          <w:p>
            <w:r>
              <w:rPr>
                <w:sz w:val="17"/>
              </w:rPr>
            </w:r>
          </w:p>
        </w:tc>
      </w:tr>
      <w:tr>
        <w:tc>
          <w:tcPr>
            <w:tcW w:type="dxa" w:w="567"/>
          </w:tcPr>
          <w:p>
            <w:r>
              <w:rPr>
                <w:sz w:val="17"/>
              </w:rPr>
              <w:t>15</w:t>
            </w:r>
          </w:p>
        </w:tc>
        <w:tc>
          <w:tcPr>
            <w:tcW w:type="dxa" w:w="7030"/>
          </w:tcPr>
          <w:p>
            <w:r>
              <w:rPr>
                <w:sz w:val="17"/>
              </w:rPr>
              <w:t>MHRA alerts are received, and you can show what you did locally about the last relevant one.</w:t>
            </w:r>
          </w:p>
        </w:tc>
        <w:tc>
          <w:tcPr>
            <w:tcW w:type="dxa" w:w="1247"/>
          </w:tcPr>
          <w:p>
            <w:r>
              <w:rPr>
                <w:sz w:val="17"/>
              </w:rPr>
              <w:t>Reg 12</w:t>
            </w:r>
          </w:p>
        </w:tc>
        <w:tc>
          <w:tcPr>
            <w:tcW w:type="dxa" w:w="1361"/>
          </w:tcPr>
          <w:p>
            <w:r>
              <w:rPr>
                <w:sz w:val="17"/>
              </w:rPr>
            </w:r>
          </w:p>
        </w:tc>
      </w:tr>
      <w:tr>
        <w:tc>
          <w:tcPr>
            <w:tcW w:type="dxa" w:w="567"/>
          </w:tcPr>
          <w:p>
            <w:r>
              <w:rPr>
                <w:sz w:val="17"/>
              </w:rPr>
              <w:t>16</w:t>
            </w:r>
          </w:p>
        </w:tc>
        <w:tc>
          <w:tcPr>
            <w:tcW w:type="dxa" w:w="7030"/>
          </w:tcPr>
          <w:p>
            <w:r>
              <w:rPr>
                <w:sz w:val="17"/>
              </w:rPr>
              <w:t>Safeguarding: staff know how to raise a concern and can name the local route.</w:t>
            </w:r>
          </w:p>
        </w:tc>
        <w:tc>
          <w:tcPr>
            <w:tcW w:type="dxa" w:w="1247"/>
          </w:tcPr>
          <w:p>
            <w:r>
              <w:rPr>
                <w:sz w:val="17"/>
              </w:rPr>
              <w:t>Reg 13</w:t>
            </w:r>
          </w:p>
        </w:tc>
        <w:tc>
          <w:tcPr>
            <w:tcW w:type="dxa" w:w="1361"/>
          </w:tcPr>
          <w:p>
            <w:r>
              <w:rPr>
                <w:sz w:val="17"/>
              </w:rPr>
            </w:r>
          </w:p>
        </w:tc>
      </w:tr>
    </w:tbl>
    <w:p>
      <w:pPr>
        <w:spacing w:before="240" w:after="60"/>
      </w:pPr>
      <w:r>
        <w:rPr>
          <w:b/>
          <w:color w:val="0B1D3A"/>
          <w:sz w:val="26"/>
        </w:rPr>
        <w:t>2. EFFECTIVE</w:t>
      </w:r>
    </w:p>
    <w:p>
      <w:pPr>
        <w:spacing w:after="120"/>
      </w:pPr>
      <w:r>
        <w:rPr>
          <w:b w:val="0"/>
          <w:i/>
          <w:color w:val="5C4A2E"/>
          <w:sz w:val="17"/>
        </w:rPr>
        <w:t>4 of 153 rated clinics fell below Good here.</w:t>
      </w:r>
    </w:p>
    <w:tbl>
      <w:tblPr>
        <w:tblStyle w:val="TableGrid"/>
        <w:tblW w:type="auto" w:w="0"/>
        <w:tblLook w:firstColumn="1" w:firstRow="1" w:lastColumn="0" w:lastRow="0" w:noHBand="0" w:noVBand="1" w:val="04A0"/>
      </w:tblPr>
      <w:tblGrid>
        <w:gridCol w:w="2635"/>
        <w:gridCol w:w="2635"/>
        <w:gridCol w:w="2635"/>
        <w:gridCol w:w="2635"/>
      </w:tblGrid>
      <w:tr>
        <w:tc>
          <w:tcPr>
            <w:tcW w:type="dxa" w:w="567"/>
            <w:shd w:fill="0B1D3A"/>
          </w:tcPr>
          <w:p>
            <w:r>
              <w:rPr>
                <w:b/>
                <w:color w:val="FFFFFF"/>
                <w:sz w:val="15"/>
              </w:rPr>
              <w:t>#</w:t>
            </w:r>
          </w:p>
        </w:tc>
        <w:tc>
          <w:tcPr>
            <w:tcW w:type="dxa" w:w="7030"/>
            <w:shd w:fill="0B1D3A"/>
          </w:tcPr>
          <w:p>
            <w:r>
              <w:rPr>
                <w:b/>
                <w:color w:val="FFFFFF"/>
                <w:sz w:val="15"/>
              </w:rPr>
              <w:t>Check — and the evidence an inspector would expect</w:t>
            </w:r>
          </w:p>
        </w:tc>
        <w:tc>
          <w:tcPr>
            <w:tcW w:type="dxa" w:w="1247"/>
            <w:shd w:fill="0B1D3A"/>
          </w:tcPr>
          <w:p>
            <w:r>
              <w:rPr>
                <w:b/>
                <w:color w:val="FFFFFF"/>
                <w:sz w:val="15"/>
              </w:rPr>
              <w:t>Reg</w:t>
            </w:r>
          </w:p>
        </w:tc>
        <w:tc>
          <w:tcPr>
            <w:tcW w:type="dxa" w:w="1361"/>
            <w:shd w:fill="0B1D3A"/>
          </w:tcPr>
          <w:p>
            <w:r>
              <w:rPr>
                <w:b/>
                <w:color w:val="FFFFFF"/>
                <w:sz w:val="15"/>
              </w:rPr>
              <w:t>Mark</w:t>
            </w:r>
          </w:p>
        </w:tc>
      </w:tr>
      <w:tr>
        <w:tc>
          <w:tcPr>
            <w:tcW w:type="dxa" w:w="567"/>
          </w:tcPr>
          <w:p>
            <w:r>
              <w:rPr>
                <w:sz w:val="17"/>
              </w:rPr>
              <w:t>17</w:t>
            </w:r>
          </w:p>
        </w:tc>
        <w:tc>
          <w:tcPr>
            <w:tcW w:type="dxa" w:w="7030"/>
          </w:tcPr>
          <w:p>
            <w:r>
              <w:rPr>
                <w:sz w:val="17"/>
              </w:rPr>
              <w:t>Consent is recorded for every procedure, with the specific risks discussed — not a generic signature.</w:t>
            </w:r>
          </w:p>
        </w:tc>
        <w:tc>
          <w:tcPr>
            <w:tcW w:type="dxa" w:w="1247"/>
          </w:tcPr>
          <w:p>
            <w:r>
              <w:rPr>
                <w:sz w:val="17"/>
              </w:rPr>
              <w:t>Reg 11</w:t>
            </w:r>
          </w:p>
        </w:tc>
        <w:tc>
          <w:tcPr>
            <w:tcW w:type="dxa" w:w="1361"/>
          </w:tcPr>
          <w:p>
            <w:r>
              <w:rPr>
                <w:sz w:val="17"/>
              </w:rPr>
            </w:r>
          </w:p>
        </w:tc>
      </w:tr>
      <w:tr>
        <w:tc>
          <w:tcPr>
            <w:tcW w:type="dxa" w:w="567"/>
          </w:tcPr>
          <w:p>
            <w:r>
              <w:rPr>
                <w:sz w:val="17"/>
              </w:rPr>
              <w:t>18</w:t>
            </w:r>
          </w:p>
        </w:tc>
        <w:tc>
          <w:tcPr>
            <w:tcW w:type="dxa" w:w="7030"/>
          </w:tcPr>
          <w:p>
            <w:r>
              <w:rPr>
                <w:sz w:val="17"/>
              </w:rPr>
              <w:t>There is a cooling-off period between consultation and treatment for elective procedures, and the record shows it.</w:t>
            </w:r>
          </w:p>
        </w:tc>
        <w:tc>
          <w:tcPr>
            <w:tcW w:type="dxa" w:w="1247"/>
          </w:tcPr>
          <w:p>
            <w:r>
              <w:rPr>
                <w:sz w:val="17"/>
              </w:rPr>
              <w:t>Reg 11</w:t>
            </w:r>
          </w:p>
        </w:tc>
        <w:tc>
          <w:tcPr>
            <w:tcW w:type="dxa" w:w="1361"/>
          </w:tcPr>
          <w:p>
            <w:r>
              <w:rPr>
                <w:sz w:val="17"/>
              </w:rPr>
            </w:r>
          </w:p>
        </w:tc>
      </w:tr>
      <w:tr>
        <w:tc>
          <w:tcPr>
            <w:tcW w:type="dxa" w:w="567"/>
          </w:tcPr>
          <w:p>
            <w:r>
              <w:rPr>
                <w:sz w:val="17"/>
              </w:rPr>
              <w:t>19</w:t>
            </w:r>
          </w:p>
        </w:tc>
        <w:tc>
          <w:tcPr>
            <w:tcW w:type="dxa" w:w="7030"/>
          </w:tcPr>
          <w:p>
            <w:r>
              <w:rPr>
                <w:sz w:val="17"/>
              </w:rPr>
              <w:t>Clinical records are contemporaneous, legible and attributable to a named clinician.</w:t>
            </w:r>
          </w:p>
        </w:tc>
        <w:tc>
          <w:tcPr>
            <w:tcW w:type="dxa" w:w="1247"/>
          </w:tcPr>
          <w:p>
            <w:r>
              <w:rPr>
                <w:sz w:val="17"/>
              </w:rPr>
              <w:t>Reg 17</w:t>
            </w:r>
          </w:p>
        </w:tc>
        <w:tc>
          <w:tcPr>
            <w:tcW w:type="dxa" w:w="1361"/>
          </w:tcPr>
          <w:p>
            <w:r>
              <w:rPr>
                <w:sz w:val="17"/>
              </w:rPr>
            </w:r>
          </w:p>
        </w:tc>
      </w:tr>
      <w:tr>
        <w:tc>
          <w:tcPr>
            <w:tcW w:type="dxa" w:w="567"/>
          </w:tcPr>
          <w:p>
            <w:r>
              <w:rPr>
                <w:sz w:val="17"/>
              </w:rPr>
              <w:t>20</w:t>
            </w:r>
          </w:p>
        </w:tc>
        <w:tc>
          <w:tcPr>
            <w:tcW w:type="dxa" w:w="7030"/>
          </w:tcPr>
          <w:p>
            <w:r>
              <w:rPr>
                <w:sz w:val="17"/>
              </w:rPr>
              <w:t>Photographs, where taken, are consented to separately and stored under your retention policy.</w:t>
            </w:r>
          </w:p>
        </w:tc>
        <w:tc>
          <w:tcPr>
            <w:tcW w:type="dxa" w:w="1247"/>
          </w:tcPr>
          <w:p>
            <w:r>
              <w:rPr>
                <w:sz w:val="17"/>
              </w:rPr>
              <w:t>Reg 11, 17</w:t>
            </w:r>
          </w:p>
        </w:tc>
        <w:tc>
          <w:tcPr>
            <w:tcW w:type="dxa" w:w="1361"/>
          </w:tcPr>
          <w:p>
            <w:r>
              <w:rPr>
                <w:sz w:val="17"/>
              </w:rPr>
            </w:r>
          </w:p>
        </w:tc>
      </w:tr>
      <w:tr>
        <w:tc>
          <w:tcPr>
            <w:tcW w:type="dxa" w:w="567"/>
          </w:tcPr>
          <w:p>
            <w:r>
              <w:rPr>
                <w:sz w:val="17"/>
              </w:rPr>
              <w:t>21</w:t>
            </w:r>
          </w:p>
        </w:tc>
        <w:tc>
          <w:tcPr>
            <w:tcW w:type="dxa" w:w="7030"/>
          </w:tcPr>
          <w:p>
            <w:r>
              <w:rPr>
                <w:sz w:val="17"/>
              </w:rPr>
              <w:t>Treatment follows a written protocol or PGD that matches what staff actually do.</w:t>
            </w:r>
          </w:p>
        </w:tc>
        <w:tc>
          <w:tcPr>
            <w:tcW w:type="dxa" w:w="1247"/>
          </w:tcPr>
          <w:p>
            <w:r>
              <w:rPr>
                <w:sz w:val="17"/>
              </w:rPr>
              <w:t>Reg 12</w:t>
            </w:r>
          </w:p>
        </w:tc>
        <w:tc>
          <w:tcPr>
            <w:tcW w:type="dxa" w:w="1361"/>
          </w:tcPr>
          <w:p>
            <w:r>
              <w:rPr>
                <w:sz w:val="17"/>
              </w:rPr>
            </w:r>
          </w:p>
        </w:tc>
      </w:tr>
      <w:tr>
        <w:tc>
          <w:tcPr>
            <w:tcW w:type="dxa" w:w="567"/>
          </w:tcPr>
          <w:p>
            <w:r>
              <w:rPr>
                <w:sz w:val="17"/>
              </w:rPr>
              <w:t>22</w:t>
            </w:r>
          </w:p>
        </w:tc>
        <w:tc>
          <w:tcPr>
            <w:tcW w:type="dxa" w:w="7030"/>
          </w:tcPr>
          <w:p>
            <w:r>
              <w:rPr>
                <w:sz w:val="17"/>
              </w:rPr>
              <w:t>Outcomes and complications are reviewed, with dated evidence of the last review.</w:t>
            </w:r>
          </w:p>
        </w:tc>
        <w:tc>
          <w:tcPr>
            <w:tcW w:type="dxa" w:w="1247"/>
          </w:tcPr>
          <w:p>
            <w:r>
              <w:rPr>
                <w:sz w:val="17"/>
              </w:rPr>
              <w:t>Reg 17</w:t>
            </w:r>
          </w:p>
        </w:tc>
        <w:tc>
          <w:tcPr>
            <w:tcW w:type="dxa" w:w="1361"/>
          </w:tcPr>
          <w:p>
            <w:r>
              <w:rPr>
                <w:sz w:val="17"/>
              </w:rPr>
            </w:r>
          </w:p>
        </w:tc>
      </w:tr>
      <w:tr>
        <w:tc>
          <w:tcPr>
            <w:tcW w:type="dxa" w:w="567"/>
          </w:tcPr>
          <w:p>
            <w:r>
              <w:rPr>
                <w:sz w:val="17"/>
              </w:rPr>
              <w:t>23</w:t>
            </w:r>
          </w:p>
        </w:tc>
        <w:tc>
          <w:tcPr>
            <w:tcW w:type="dxa" w:w="7030"/>
          </w:tcPr>
          <w:p>
            <w:r>
              <w:rPr>
                <w:sz w:val="17"/>
              </w:rPr>
              <w:t>An audit programme exists covering at least consent, records and infection control, with findings and actions.</w:t>
            </w:r>
          </w:p>
        </w:tc>
        <w:tc>
          <w:tcPr>
            <w:tcW w:type="dxa" w:w="1247"/>
          </w:tcPr>
          <w:p>
            <w:r>
              <w:rPr>
                <w:sz w:val="17"/>
              </w:rPr>
              <w:t>Reg 17</w:t>
            </w:r>
          </w:p>
        </w:tc>
        <w:tc>
          <w:tcPr>
            <w:tcW w:type="dxa" w:w="1361"/>
          </w:tcPr>
          <w:p>
            <w:r>
              <w:rPr>
                <w:sz w:val="17"/>
              </w:rPr>
            </w:r>
          </w:p>
        </w:tc>
      </w:tr>
    </w:tbl>
    <w:p>
      <w:pPr>
        <w:spacing w:before="240" w:after="60"/>
      </w:pPr>
      <w:r>
        <w:rPr>
          <w:b/>
          <w:color w:val="0B1D3A"/>
          <w:sz w:val="26"/>
        </w:rPr>
        <w:t>3. CARING</w:t>
      </w:r>
    </w:p>
    <w:p>
      <w:pPr>
        <w:spacing w:after="120"/>
      </w:pPr>
      <w:r>
        <w:rPr>
          <w:b w:val="0"/>
          <w:i/>
          <w:color w:val="5C4A2E"/>
          <w:sz w:val="17"/>
        </w:rPr>
        <w:t>Only 1 of 153 rated clinics fell below Good here. This is the strongest area across the sector — verify it rather than rebuild it.</w:t>
      </w:r>
    </w:p>
    <w:tbl>
      <w:tblPr>
        <w:tblStyle w:val="TableGrid"/>
        <w:tblW w:type="auto" w:w="0"/>
        <w:tblLook w:firstColumn="1" w:firstRow="1" w:lastColumn="0" w:lastRow="0" w:noHBand="0" w:noVBand="1" w:val="04A0"/>
      </w:tblPr>
      <w:tblGrid>
        <w:gridCol w:w="2635"/>
        <w:gridCol w:w="2635"/>
        <w:gridCol w:w="2635"/>
        <w:gridCol w:w="2635"/>
      </w:tblGrid>
      <w:tr>
        <w:tc>
          <w:tcPr>
            <w:tcW w:type="dxa" w:w="567"/>
            <w:shd w:fill="0B1D3A"/>
          </w:tcPr>
          <w:p>
            <w:r>
              <w:rPr>
                <w:b/>
                <w:color w:val="FFFFFF"/>
                <w:sz w:val="15"/>
              </w:rPr>
              <w:t>#</w:t>
            </w:r>
          </w:p>
        </w:tc>
        <w:tc>
          <w:tcPr>
            <w:tcW w:type="dxa" w:w="7030"/>
            <w:shd w:fill="0B1D3A"/>
          </w:tcPr>
          <w:p>
            <w:r>
              <w:rPr>
                <w:b/>
                <w:color w:val="FFFFFF"/>
                <w:sz w:val="15"/>
              </w:rPr>
              <w:t>Check — and the evidence an inspector would expect</w:t>
            </w:r>
          </w:p>
        </w:tc>
        <w:tc>
          <w:tcPr>
            <w:tcW w:type="dxa" w:w="1247"/>
            <w:shd w:fill="0B1D3A"/>
          </w:tcPr>
          <w:p>
            <w:r>
              <w:rPr>
                <w:b/>
                <w:color w:val="FFFFFF"/>
                <w:sz w:val="15"/>
              </w:rPr>
              <w:t>Reg</w:t>
            </w:r>
          </w:p>
        </w:tc>
        <w:tc>
          <w:tcPr>
            <w:tcW w:type="dxa" w:w="1361"/>
            <w:shd w:fill="0B1D3A"/>
          </w:tcPr>
          <w:p>
            <w:r>
              <w:rPr>
                <w:b/>
                <w:color w:val="FFFFFF"/>
                <w:sz w:val="15"/>
              </w:rPr>
              <w:t>Mark</w:t>
            </w:r>
          </w:p>
        </w:tc>
      </w:tr>
      <w:tr>
        <w:tc>
          <w:tcPr>
            <w:tcW w:type="dxa" w:w="567"/>
          </w:tcPr>
          <w:p>
            <w:r>
              <w:rPr>
                <w:sz w:val="17"/>
              </w:rPr>
              <w:t>24</w:t>
            </w:r>
          </w:p>
        </w:tc>
        <w:tc>
          <w:tcPr>
            <w:tcW w:type="dxa" w:w="7030"/>
          </w:tcPr>
          <w:p>
            <w:r>
              <w:rPr>
                <w:sz w:val="17"/>
              </w:rPr>
              <w:t>Patients receive written information before treatment, including risks and aftercare.</w:t>
            </w:r>
          </w:p>
        </w:tc>
        <w:tc>
          <w:tcPr>
            <w:tcW w:type="dxa" w:w="1247"/>
          </w:tcPr>
          <w:p>
            <w:r>
              <w:rPr>
                <w:sz w:val="17"/>
              </w:rPr>
              <w:t>Reg 9</w:t>
            </w:r>
          </w:p>
        </w:tc>
        <w:tc>
          <w:tcPr>
            <w:tcW w:type="dxa" w:w="1361"/>
          </w:tcPr>
          <w:p>
            <w:r>
              <w:rPr>
                <w:sz w:val="17"/>
              </w:rPr>
            </w:r>
          </w:p>
        </w:tc>
      </w:tr>
      <w:tr>
        <w:tc>
          <w:tcPr>
            <w:tcW w:type="dxa" w:w="567"/>
          </w:tcPr>
          <w:p>
            <w:r>
              <w:rPr>
                <w:sz w:val="17"/>
              </w:rPr>
              <w:t>25</w:t>
            </w:r>
          </w:p>
        </w:tc>
        <w:tc>
          <w:tcPr>
            <w:tcW w:type="dxa" w:w="7030"/>
          </w:tcPr>
          <w:p>
            <w:r>
              <w:rPr>
                <w:sz w:val="17"/>
              </w:rPr>
              <w:t>Chaperones are offered, and the offer is recorded.</w:t>
            </w:r>
          </w:p>
        </w:tc>
        <w:tc>
          <w:tcPr>
            <w:tcW w:type="dxa" w:w="1247"/>
          </w:tcPr>
          <w:p>
            <w:r>
              <w:rPr>
                <w:sz w:val="17"/>
              </w:rPr>
              <w:t>Reg 10</w:t>
            </w:r>
          </w:p>
        </w:tc>
        <w:tc>
          <w:tcPr>
            <w:tcW w:type="dxa" w:w="1361"/>
          </w:tcPr>
          <w:p>
            <w:r>
              <w:rPr>
                <w:sz w:val="17"/>
              </w:rPr>
            </w:r>
          </w:p>
        </w:tc>
      </w:tr>
      <w:tr>
        <w:tc>
          <w:tcPr>
            <w:tcW w:type="dxa" w:w="567"/>
          </w:tcPr>
          <w:p>
            <w:r>
              <w:rPr>
                <w:sz w:val="17"/>
              </w:rPr>
              <w:t>26</w:t>
            </w:r>
          </w:p>
        </w:tc>
        <w:tc>
          <w:tcPr>
            <w:tcW w:type="dxa" w:w="7030"/>
          </w:tcPr>
          <w:p>
            <w:r>
              <w:rPr>
                <w:sz w:val="17"/>
              </w:rPr>
              <w:t>Feedback is collected, and you can show at least one change made as a result.</w:t>
            </w:r>
          </w:p>
        </w:tc>
        <w:tc>
          <w:tcPr>
            <w:tcW w:type="dxa" w:w="1247"/>
          </w:tcPr>
          <w:p>
            <w:r>
              <w:rPr>
                <w:sz w:val="17"/>
              </w:rPr>
              <w:t>Reg 17</w:t>
            </w:r>
          </w:p>
        </w:tc>
        <w:tc>
          <w:tcPr>
            <w:tcW w:type="dxa" w:w="1361"/>
          </w:tcPr>
          <w:p>
            <w:r>
              <w:rPr>
                <w:sz w:val="17"/>
              </w:rPr>
            </w:r>
          </w:p>
        </w:tc>
      </w:tr>
      <w:tr>
        <w:tc>
          <w:tcPr>
            <w:tcW w:type="dxa" w:w="567"/>
          </w:tcPr>
          <w:p>
            <w:r>
              <w:rPr>
                <w:sz w:val="17"/>
              </w:rPr>
              <w:t>27</w:t>
            </w:r>
          </w:p>
        </w:tc>
        <w:tc>
          <w:tcPr>
            <w:tcW w:type="dxa" w:w="7030"/>
          </w:tcPr>
          <w:p>
            <w:r>
              <w:rPr>
                <w:sz w:val="17"/>
              </w:rPr>
              <w:t>Privacy and dignity arrangements work in the actual room layout, not on paper.</w:t>
            </w:r>
          </w:p>
        </w:tc>
        <w:tc>
          <w:tcPr>
            <w:tcW w:type="dxa" w:w="1247"/>
          </w:tcPr>
          <w:p>
            <w:r>
              <w:rPr>
                <w:sz w:val="17"/>
              </w:rPr>
              <w:t>Reg 10</w:t>
            </w:r>
          </w:p>
        </w:tc>
        <w:tc>
          <w:tcPr>
            <w:tcW w:type="dxa" w:w="1361"/>
          </w:tcPr>
          <w:p>
            <w:r>
              <w:rPr>
                <w:sz w:val="17"/>
              </w:rPr>
            </w:r>
          </w:p>
        </w:tc>
      </w:tr>
    </w:tbl>
    <w:p>
      <w:pPr>
        <w:spacing w:before="240" w:after="60"/>
      </w:pPr>
      <w:r>
        <w:rPr>
          <w:b/>
          <w:color w:val="0B1D3A"/>
          <w:sz w:val="26"/>
        </w:rPr>
        <w:t>4. RESPONSIVE</w:t>
      </w:r>
    </w:p>
    <w:p>
      <w:pPr>
        <w:spacing w:after="120"/>
      </w:pPr>
      <w:r>
        <w:rPr>
          <w:b w:val="0"/>
          <w:i/>
          <w:color w:val="5C4A2E"/>
          <w:sz w:val="17"/>
        </w:rPr>
        <w:t>No rated clinic in our dataset fell below Good on Responsive. Confirm these and move on.</w:t>
      </w:r>
    </w:p>
    <w:tbl>
      <w:tblPr>
        <w:tblStyle w:val="TableGrid"/>
        <w:tblW w:type="auto" w:w="0"/>
        <w:tblLook w:firstColumn="1" w:firstRow="1" w:lastColumn="0" w:lastRow="0" w:noHBand="0" w:noVBand="1" w:val="04A0"/>
      </w:tblPr>
      <w:tblGrid>
        <w:gridCol w:w="2635"/>
        <w:gridCol w:w="2635"/>
        <w:gridCol w:w="2635"/>
        <w:gridCol w:w="2635"/>
      </w:tblGrid>
      <w:tr>
        <w:tc>
          <w:tcPr>
            <w:tcW w:type="dxa" w:w="567"/>
            <w:shd w:fill="0B1D3A"/>
          </w:tcPr>
          <w:p>
            <w:r>
              <w:rPr>
                <w:b/>
                <w:color w:val="FFFFFF"/>
                <w:sz w:val="15"/>
              </w:rPr>
              <w:t>#</w:t>
            </w:r>
          </w:p>
        </w:tc>
        <w:tc>
          <w:tcPr>
            <w:tcW w:type="dxa" w:w="7030"/>
            <w:shd w:fill="0B1D3A"/>
          </w:tcPr>
          <w:p>
            <w:r>
              <w:rPr>
                <w:b/>
                <w:color w:val="FFFFFF"/>
                <w:sz w:val="15"/>
              </w:rPr>
              <w:t>Check — and the evidence an inspector would expect</w:t>
            </w:r>
          </w:p>
        </w:tc>
        <w:tc>
          <w:tcPr>
            <w:tcW w:type="dxa" w:w="1247"/>
            <w:shd w:fill="0B1D3A"/>
          </w:tcPr>
          <w:p>
            <w:r>
              <w:rPr>
                <w:b/>
                <w:color w:val="FFFFFF"/>
                <w:sz w:val="15"/>
              </w:rPr>
              <w:t>Reg</w:t>
            </w:r>
          </w:p>
        </w:tc>
        <w:tc>
          <w:tcPr>
            <w:tcW w:type="dxa" w:w="1361"/>
            <w:shd w:fill="0B1D3A"/>
          </w:tcPr>
          <w:p>
            <w:r>
              <w:rPr>
                <w:b/>
                <w:color w:val="FFFFFF"/>
                <w:sz w:val="15"/>
              </w:rPr>
              <w:t>Mark</w:t>
            </w:r>
          </w:p>
        </w:tc>
      </w:tr>
      <w:tr>
        <w:tc>
          <w:tcPr>
            <w:tcW w:type="dxa" w:w="567"/>
          </w:tcPr>
          <w:p>
            <w:r>
              <w:rPr>
                <w:sz w:val="17"/>
              </w:rPr>
              <w:t>28</w:t>
            </w:r>
          </w:p>
        </w:tc>
        <w:tc>
          <w:tcPr>
            <w:tcW w:type="dxa" w:w="7030"/>
          </w:tcPr>
          <w:p>
            <w:r>
              <w:rPr>
                <w:sz w:val="17"/>
              </w:rPr>
              <w:t>Complaints are logged, acknowledged and closed within your stated timescale.</w:t>
            </w:r>
          </w:p>
        </w:tc>
        <w:tc>
          <w:tcPr>
            <w:tcW w:type="dxa" w:w="1247"/>
          </w:tcPr>
          <w:p>
            <w:r>
              <w:rPr>
                <w:sz w:val="17"/>
              </w:rPr>
              <w:t>Reg 16</w:t>
            </w:r>
          </w:p>
        </w:tc>
        <w:tc>
          <w:tcPr>
            <w:tcW w:type="dxa" w:w="1361"/>
          </w:tcPr>
          <w:p>
            <w:r>
              <w:rPr>
                <w:sz w:val="17"/>
              </w:rPr>
            </w:r>
          </w:p>
        </w:tc>
      </w:tr>
      <w:tr>
        <w:tc>
          <w:tcPr>
            <w:tcW w:type="dxa" w:w="567"/>
          </w:tcPr>
          <w:p>
            <w:r>
              <w:rPr>
                <w:sz w:val="17"/>
              </w:rPr>
              <w:t>29</w:t>
            </w:r>
          </w:p>
        </w:tc>
        <w:tc>
          <w:tcPr>
            <w:tcW w:type="dxa" w:w="7030"/>
          </w:tcPr>
          <w:p>
            <w:r>
              <w:rPr>
                <w:sz w:val="17"/>
              </w:rPr>
              <w:t>Patients are told how to escalate beyond the clinic.</w:t>
            </w:r>
          </w:p>
        </w:tc>
        <w:tc>
          <w:tcPr>
            <w:tcW w:type="dxa" w:w="1247"/>
          </w:tcPr>
          <w:p>
            <w:r>
              <w:rPr>
                <w:sz w:val="17"/>
              </w:rPr>
              <w:t>Reg 16</w:t>
            </w:r>
          </w:p>
        </w:tc>
        <w:tc>
          <w:tcPr>
            <w:tcW w:type="dxa" w:w="1361"/>
          </w:tcPr>
          <w:p>
            <w:r>
              <w:rPr>
                <w:sz w:val="17"/>
              </w:rPr>
            </w:r>
          </w:p>
        </w:tc>
      </w:tr>
      <w:tr>
        <w:tc>
          <w:tcPr>
            <w:tcW w:type="dxa" w:w="567"/>
          </w:tcPr>
          <w:p>
            <w:r>
              <w:rPr>
                <w:sz w:val="17"/>
              </w:rPr>
              <w:t>30</w:t>
            </w:r>
          </w:p>
        </w:tc>
        <w:tc>
          <w:tcPr>
            <w:tcW w:type="dxa" w:w="7030"/>
          </w:tcPr>
          <w:p>
            <w:r>
              <w:rPr>
                <w:sz w:val="17"/>
              </w:rPr>
              <w:t>Accessibility and reasonable adjustments are addressed for real, with an example.</w:t>
            </w:r>
          </w:p>
        </w:tc>
        <w:tc>
          <w:tcPr>
            <w:tcW w:type="dxa" w:w="1247"/>
          </w:tcPr>
          <w:p>
            <w:r>
              <w:rPr>
                <w:sz w:val="17"/>
              </w:rPr>
              <w:t>Reg 9</w:t>
            </w:r>
          </w:p>
        </w:tc>
        <w:tc>
          <w:tcPr>
            <w:tcW w:type="dxa" w:w="1361"/>
          </w:tcPr>
          <w:p>
            <w:r>
              <w:rPr>
                <w:sz w:val="17"/>
              </w:rPr>
            </w:r>
          </w:p>
        </w:tc>
      </w:tr>
      <w:tr>
        <w:tc>
          <w:tcPr>
            <w:tcW w:type="dxa" w:w="567"/>
          </w:tcPr>
          <w:p>
            <w:r>
              <w:rPr>
                <w:sz w:val="17"/>
              </w:rPr>
              <w:t>31</w:t>
            </w:r>
          </w:p>
        </w:tc>
        <w:tc>
          <w:tcPr>
            <w:tcW w:type="dxa" w:w="7030"/>
          </w:tcPr>
          <w:p>
            <w:r>
              <w:rPr>
                <w:sz w:val="17"/>
              </w:rPr>
              <w:t>Aftercare contact is available out of hours, and patients know the route.</w:t>
            </w:r>
          </w:p>
        </w:tc>
        <w:tc>
          <w:tcPr>
            <w:tcW w:type="dxa" w:w="1247"/>
          </w:tcPr>
          <w:p>
            <w:r>
              <w:rPr>
                <w:sz w:val="17"/>
              </w:rPr>
              <w:t>Reg 9, 12</w:t>
            </w:r>
          </w:p>
        </w:tc>
        <w:tc>
          <w:tcPr>
            <w:tcW w:type="dxa" w:w="1361"/>
          </w:tcPr>
          <w:p>
            <w:r>
              <w:rPr>
                <w:sz w:val="17"/>
              </w:rPr>
            </w:r>
          </w:p>
        </w:tc>
      </w:tr>
    </w:tbl>
    <w:p>
      <w:pPr>
        <w:spacing w:before="240" w:after="60"/>
      </w:pPr>
      <w:r>
        <w:rPr>
          <w:b/>
          <w:color w:val="0B1D3A"/>
          <w:sz w:val="26"/>
        </w:rPr>
        <w:t>5. WELL-LED</w:t>
      </w:r>
    </w:p>
    <w:p>
      <w:pPr>
        <w:spacing w:after="120"/>
      </w:pPr>
      <w:r>
        <w:rPr>
          <w:b w:val="0"/>
          <w:i/>
          <w:color w:val="5C4A2E"/>
          <w:sz w:val="17"/>
        </w:rPr>
        <w:t>Joint weakest area: 9 of 153 rated clinics were Requires improvement or Inadequate. This is governance, and it is the half of the toolkit most clinics skip.</w:t>
      </w:r>
    </w:p>
    <w:p>
      <w:pPr>
        <w:spacing w:before="120" w:after="40"/>
      </w:pPr>
      <w:r>
        <w:rPr>
          <w:b/>
          <w:color w:val="0B1D3A"/>
          <w:sz w:val="17"/>
        </w:rPr>
        <w:t>ACCOUNTABILITY</w:t>
      </w:r>
    </w:p>
    <w:tbl>
      <w:tblPr>
        <w:tblStyle w:val="TableGrid"/>
        <w:tblW w:type="auto" w:w="0"/>
        <w:tblLook w:firstColumn="1" w:firstRow="1" w:lastColumn="0" w:lastRow="0" w:noHBand="0" w:noVBand="1" w:val="04A0"/>
      </w:tblPr>
      <w:tblGrid>
        <w:gridCol w:w="2635"/>
        <w:gridCol w:w="2635"/>
        <w:gridCol w:w="2635"/>
        <w:gridCol w:w="2635"/>
      </w:tblGrid>
      <w:tr>
        <w:tc>
          <w:tcPr>
            <w:tcW w:type="dxa" w:w="567"/>
            <w:shd w:fill="0B1D3A"/>
          </w:tcPr>
          <w:p>
            <w:r>
              <w:rPr>
                <w:b/>
                <w:color w:val="FFFFFF"/>
                <w:sz w:val="15"/>
              </w:rPr>
              <w:t>#</w:t>
            </w:r>
          </w:p>
        </w:tc>
        <w:tc>
          <w:tcPr>
            <w:tcW w:type="dxa" w:w="7030"/>
            <w:shd w:fill="0B1D3A"/>
          </w:tcPr>
          <w:p>
            <w:r>
              <w:rPr>
                <w:b/>
                <w:color w:val="FFFFFF"/>
                <w:sz w:val="15"/>
              </w:rPr>
              <w:t>Check — and the evidence an inspector would expect</w:t>
            </w:r>
          </w:p>
        </w:tc>
        <w:tc>
          <w:tcPr>
            <w:tcW w:type="dxa" w:w="1247"/>
            <w:shd w:fill="0B1D3A"/>
          </w:tcPr>
          <w:p>
            <w:r>
              <w:rPr>
                <w:b/>
                <w:color w:val="FFFFFF"/>
                <w:sz w:val="15"/>
              </w:rPr>
              <w:t>Reg</w:t>
            </w:r>
          </w:p>
        </w:tc>
        <w:tc>
          <w:tcPr>
            <w:tcW w:type="dxa" w:w="1361"/>
            <w:shd w:fill="0B1D3A"/>
          </w:tcPr>
          <w:p>
            <w:r>
              <w:rPr>
                <w:b/>
                <w:color w:val="FFFFFF"/>
                <w:sz w:val="15"/>
              </w:rPr>
              <w:t>Mark</w:t>
            </w:r>
          </w:p>
        </w:tc>
      </w:tr>
      <w:tr>
        <w:tc>
          <w:tcPr>
            <w:tcW w:type="dxa" w:w="567"/>
          </w:tcPr>
          <w:p>
            <w:r>
              <w:rPr>
                <w:sz w:val="17"/>
              </w:rPr>
              <w:t>32</w:t>
            </w:r>
          </w:p>
        </w:tc>
        <w:tc>
          <w:tcPr>
            <w:tcW w:type="dxa" w:w="7030"/>
          </w:tcPr>
          <w:p>
            <w:r>
              <w:rPr>
                <w:sz w:val="17"/>
              </w:rPr>
              <w:t>A registered manager is in post, and their registration matches what CQC holds.</w:t>
            </w:r>
          </w:p>
        </w:tc>
        <w:tc>
          <w:tcPr>
            <w:tcW w:type="dxa" w:w="1247"/>
          </w:tcPr>
          <w:p>
            <w:r>
              <w:rPr>
                <w:sz w:val="17"/>
              </w:rPr>
              <w:t>Reg 7</w:t>
            </w:r>
          </w:p>
        </w:tc>
        <w:tc>
          <w:tcPr>
            <w:tcW w:type="dxa" w:w="1361"/>
          </w:tcPr>
          <w:p>
            <w:r>
              <w:rPr>
                <w:sz w:val="17"/>
              </w:rPr>
            </w:r>
          </w:p>
        </w:tc>
      </w:tr>
      <w:tr>
        <w:tc>
          <w:tcPr>
            <w:tcW w:type="dxa" w:w="567"/>
          </w:tcPr>
          <w:p>
            <w:r>
              <w:rPr>
                <w:sz w:val="17"/>
              </w:rPr>
              <w:t>33</w:t>
            </w:r>
          </w:p>
        </w:tc>
        <w:tc>
          <w:tcPr>
            <w:tcW w:type="dxa" w:w="7030"/>
          </w:tcPr>
          <w:p>
            <w:r>
              <w:rPr>
                <w:sz w:val="17"/>
              </w:rPr>
              <w:t>The statement of purpose is current and reflects what you actually do today.</w:t>
            </w:r>
          </w:p>
        </w:tc>
        <w:tc>
          <w:tcPr>
            <w:tcW w:type="dxa" w:w="1247"/>
          </w:tcPr>
          <w:p>
            <w:r>
              <w:rPr>
                <w:sz w:val="17"/>
              </w:rPr>
              <w:t>Registration Regs 2009</w:t>
            </w:r>
          </w:p>
        </w:tc>
        <w:tc>
          <w:tcPr>
            <w:tcW w:type="dxa" w:w="1361"/>
          </w:tcPr>
          <w:p>
            <w:r>
              <w:rPr>
                <w:sz w:val="17"/>
              </w:rPr>
            </w:r>
          </w:p>
        </w:tc>
      </w:tr>
      <w:tr>
        <w:tc>
          <w:tcPr>
            <w:tcW w:type="dxa" w:w="567"/>
          </w:tcPr>
          <w:p>
            <w:r>
              <w:rPr>
                <w:sz w:val="17"/>
              </w:rPr>
              <w:t>34</w:t>
            </w:r>
          </w:p>
        </w:tc>
        <w:tc>
          <w:tcPr>
            <w:tcW w:type="dxa" w:w="7030"/>
          </w:tcPr>
          <w:p>
            <w:r>
              <w:rPr>
                <w:sz w:val="17"/>
              </w:rPr>
              <w:t>Staff files hold DBS checks, professional registration checks, indemnity and references.</w:t>
            </w:r>
          </w:p>
        </w:tc>
        <w:tc>
          <w:tcPr>
            <w:tcW w:type="dxa" w:w="1247"/>
          </w:tcPr>
          <w:p>
            <w:r>
              <w:rPr>
                <w:sz w:val="17"/>
              </w:rPr>
              <w:t>Reg 19</w:t>
            </w:r>
          </w:p>
        </w:tc>
        <w:tc>
          <w:tcPr>
            <w:tcW w:type="dxa" w:w="1361"/>
          </w:tcPr>
          <w:p>
            <w:r>
              <w:rPr>
                <w:sz w:val="17"/>
              </w:rPr>
            </w:r>
          </w:p>
        </w:tc>
      </w:tr>
      <w:tr>
        <w:tc>
          <w:tcPr>
            <w:tcW w:type="dxa" w:w="567"/>
          </w:tcPr>
          <w:p>
            <w:r>
              <w:rPr>
                <w:sz w:val="17"/>
              </w:rPr>
              <w:t>35</w:t>
            </w:r>
          </w:p>
        </w:tc>
        <w:tc>
          <w:tcPr>
            <w:tcW w:type="dxa" w:w="7030"/>
          </w:tcPr>
          <w:p>
            <w:r>
              <w:rPr>
                <w:sz w:val="17"/>
              </w:rPr>
              <w:t>Professional registrations are re-verified on a schedule, with the dates recorded.</w:t>
            </w:r>
          </w:p>
        </w:tc>
        <w:tc>
          <w:tcPr>
            <w:tcW w:type="dxa" w:w="1247"/>
          </w:tcPr>
          <w:p>
            <w:r>
              <w:rPr>
                <w:sz w:val="17"/>
              </w:rPr>
              <w:t>Reg 19</w:t>
            </w:r>
          </w:p>
        </w:tc>
        <w:tc>
          <w:tcPr>
            <w:tcW w:type="dxa" w:w="1361"/>
          </w:tcPr>
          <w:p>
            <w:r>
              <w:rPr>
                <w:sz w:val="17"/>
              </w:rPr>
            </w:r>
          </w:p>
        </w:tc>
      </w:tr>
    </w:tbl>
    <w:p>
      <w:pPr>
        <w:spacing w:before="120" w:after="40"/>
      </w:pPr>
      <w:r>
        <w:rPr>
          <w:b/>
          <w:color w:val="0B1D3A"/>
          <w:sz w:val="17"/>
        </w:rPr>
        <w:t>GOVERNANCE</w:t>
      </w:r>
    </w:p>
    <w:tbl>
      <w:tblPr>
        <w:tblStyle w:val="TableGrid"/>
        <w:tblW w:type="auto" w:w="0"/>
        <w:tblLook w:firstColumn="1" w:firstRow="1" w:lastColumn="0" w:lastRow="0" w:noHBand="0" w:noVBand="1" w:val="04A0"/>
      </w:tblPr>
      <w:tblGrid>
        <w:gridCol w:w="2635"/>
        <w:gridCol w:w="2635"/>
        <w:gridCol w:w="2635"/>
        <w:gridCol w:w="2635"/>
      </w:tblGrid>
      <w:tr>
        <w:tc>
          <w:tcPr>
            <w:tcW w:type="dxa" w:w="567"/>
            <w:shd w:fill="0B1D3A"/>
          </w:tcPr>
          <w:p>
            <w:r>
              <w:rPr>
                <w:b/>
                <w:color w:val="FFFFFF"/>
                <w:sz w:val="15"/>
              </w:rPr>
              <w:t>#</w:t>
            </w:r>
          </w:p>
        </w:tc>
        <w:tc>
          <w:tcPr>
            <w:tcW w:type="dxa" w:w="7030"/>
            <w:shd w:fill="0B1D3A"/>
          </w:tcPr>
          <w:p>
            <w:r>
              <w:rPr>
                <w:b/>
                <w:color w:val="FFFFFF"/>
                <w:sz w:val="15"/>
              </w:rPr>
              <w:t>Check — and the evidence an inspector would expect</w:t>
            </w:r>
          </w:p>
        </w:tc>
        <w:tc>
          <w:tcPr>
            <w:tcW w:type="dxa" w:w="1247"/>
            <w:shd w:fill="0B1D3A"/>
          </w:tcPr>
          <w:p>
            <w:r>
              <w:rPr>
                <w:b/>
                <w:color w:val="FFFFFF"/>
                <w:sz w:val="15"/>
              </w:rPr>
              <w:t>Reg</w:t>
            </w:r>
          </w:p>
        </w:tc>
        <w:tc>
          <w:tcPr>
            <w:tcW w:type="dxa" w:w="1361"/>
            <w:shd w:fill="0B1D3A"/>
          </w:tcPr>
          <w:p>
            <w:r>
              <w:rPr>
                <w:b/>
                <w:color w:val="FFFFFF"/>
                <w:sz w:val="15"/>
              </w:rPr>
              <w:t>Mark</w:t>
            </w:r>
          </w:p>
        </w:tc>
      </w:tr>
      <w:tr>
        <w:tc>
          <w:tcPr>
            <w:tcW w:type="dxa" w:w="567"/>
          </w:tcPr>
          <w:p>
            <w:r>
              <w:rPr>
                <w:sz w:val="17"/>
              </w:rPr>
              <w:t>36</w:t>
            </w:r>
          </w:p>
        </w:tc>
        <w:tc>
          <w:tcPr>
            <w:tcW w:type="dxa" w:w="7030"/>
          </w:tcPr>
          <w:p>
            <w:r>
              <w:rPr>
                <w:sz w:val="17"/>
              </w:rPr>
              <w:t>Governance or clinical meetings happen and are minuted, with actions carried forward and closed.</w:t>
            </w:r>
          </w:p>
        </w:tc>
        <w:tc>
          <w:tcPr>
            <w:tcW w:type="dxa" w:w="1247"/>
          </w:tcPr>
          <w:p>
            <w:r>
              <w:rPr>
                <w:sz w:val="17"/>
              </w:rPr>
              <w:t>Reg 17</w:t>
            </w:r>
          </w:p>
        </w:tc>
        <w:tc>
          <w:tcPr>
            <w:tcW w:type="dxa" w:w="1361"/>
          </w:tcPr>
          <w:p>
            <w:r>
              <w:rPr>
                <w:sz w:val="17"/>
              </w:rPr>
            </w:r>
          </w:p>
        </w:tc>
      </w:tr>
      <w:tr>
        <w:tc>
          <w:tcPr>
            <w:tcW w:type="dxa" w:w="567"/>
          </w:tcPr>
          <w:p>
            <w:r>
              <w:rPr>
                <w:sz w:val="17"/>
              </w:rPr>
              <w:t>37</w:t>
            </w:r>
          </w:p>
        </w:tc>
        <w:tc>
          <w:tcPr>
            <w:tcW w:type="dxa" w:w="7030"/>
          </w:tcPr>
          <w:p>
            <w:r>
              <w:rPr>
                <w:sz w:val="17"/>
              </w:rPr>
              <w:t>Policies carry a review date that has not passed.</w:t>
            </w:r>
          </w:p>
        </w:tc>
        <w:tc>
          <w:tcPr>
            <w:tcW w:type="dxa" w:w="1247"/>
          </w:tcPr>
          <w:p>
            <w:r>
              <w:rPr>
                <w:sz w:val="17"/>
              </w:rPr>
              <w:t>Reg 17</w:t>
            </w:r>
          </w:p>
        </w:tc>
        <w:tc>
          <w:tcPr>
            <w:tcW w:type="dxa" w:w="1361"/>
          </w:tcPr>
          <w:p>
            <w:r>
              <w:rPr>
                <w:sz w:val="17"/>
              </w:rPr>
            </w:r>
          </w:p>
        </w:tc>
      </w:tr>
      <w:tr>
        <w:tc>
          <w:tcPr>
            <w:tcW w:type="dxa" w:w="567"/>
          </w:tcPr>
          <w:p>
            <w:r>
              <w:rPr>
                <w:sz w:val="17"/>
              </w:rPr>
              <w:t>38</w:t>
            </w:r>
          </w:p>
        </w:tc>
        <w:tc>
          <w:tcPr>
            <w:tcW w:type="dxa" w:w="7030"/>
          </w:tcPr>
          <w:p>
            <w:r>
              <w:rPr>
                <w:sz w:val="17"/>
              </w:rPr>
              <w:t>Training and competency records are current for every clinical member of staff.</w:t>
            </w:r>
          </w:p>
        </w:tc>
        <w:tc>
          <w:tcPr>
            <w:tcW w:type="dxa" w:w="1247"/>
          </w:tcPr>
          <w:p>
            <w:r>
              <w:rPr>
                <w:sz w:val="17"/>
              </w:rPr>
              <w:t>Reg 18</w:t>
            </w:r>
          </w:p>
        </w:tc>
        <w:tc>
          <w:tcPr>
            <w:tcW w:type="dxa" w:w="1361"/>
          </w:tcPr>
          <w:p>
            <w:r>
              <w:rPr>
                <w:sz w:val="17"/>
              </w:rPr>
            </w:r>
          </w:p>
        </w:tc>
      </w:tr>
      <w:tr>
        <w:tc>
          <w:tcPr>
            <w:tcW w:type="dxa" w:w="567"/>
          </w:tcPr>
          <w:p>
            <w:r>
              <w:rPr>
                <w:sz w:val="17"/>
              </w:rPr>
              <w:t>39</w:t>
            </w:r>
          </w:p>
        </w:tc>
        <w:tc>
          <w:tcPr>
            <w:tcW w:type="dxa" w:w="7030"/>
          </w:tcPr>
          <w:p>
            <w:r>
              <w:rPr>
                <w:sz w:val="17"/>
              </w:rPr>
              <w:t>Duty of Candour: you can show the process, and evidence of it being applied if it has been.</w:t>
            </w:r>
          </w:p>
        </w:tc>
        <w:tc>
          <w:tcPr>
            <w:tcW w:type="dxa" w:w="1247"/>
          </w:tcPr>
          <w:p>
            <w:r>
              <w:rPr>
                <w:sz w:val="17"/>
              </w:rPr>
              <w:t>Reg 20</w:t>
            </w:r>
          </w:p>
        </w:tc>
        <w:tc>
          <w:tcPr>
            <w:tcW w:type="dxa" w:w="1361"/>
          </w:tcPr>
          <w:p>
            <w:r>
              <w:rPr>
                <w:sz w:val="17"/>
              </w:rPr>
            </w:r>
          </w:p>
        </w:tc>
      </w:tr>
      <w:tr>
        <w:tc>
          <w:tcPr>
            <w:tcW w:type="dxa" w:w="567"/>
          </w:tcPr>
          <w:p>
            <w:r>
              <w:rPr>
                <w:sz w:val="17"/>
              </w:rPr>
              <w:t>40</w:t>
            </w:r>
          </w:p>
        </w:tc>
        <w:tc>
          <w:tcPr>
            <w:tcW w:type="dxa" w:w="7030"/>
          </w:tcPr>
          <w:p>
            <w:r>
              <w:rPr>
                <w:sz w:val="17"/>
              </w:rPr>
              <w:t>CQC notifications: you know which events are notifiable, and can show any you have made.</w:t>
            </w:r>
          </w:p>
        </w:tc>
        <w:tc>
          <w:tcPr>
            <w:tcW w:type="dxa" w:w="1247"/>
          </w:tcPr>
          <w:p>
            <w:r>
              <w:rPr>
                <w:sz w:val="17"/>
              </w:rPr>
              <w:t>Registration Regs 2009</w:t>
            </w:r>
          </w:p>
        </w:tc>
        <w:tc>
          <w:tcPr>
            <w:tcW w:type="dxa" w:w="1361"/>
          </w:tcPr>
          <w:p>
            <w:r>
              <w:rPr>
                <w:sz w:val="17"/>
              </w:rPr>
            </w:r>
          </w:p>
        </w:tc>
      </w:tr>
      <w:tr>
        <w:tc>
          <w:tcPr>
            <w:tcW w:type="dxa" w:w="567"/>
          </w:tcPr>
          <w:p>
            <w:r>
              <w:rPr>
                <w:sz w:val="17"/>
              </w:rPr>
              <w:t>41</w:t>
            </w:r>
          </w:p>
        </w:tc>
        <w:tc>
          <w:tcPr>
            <w:tcW w:type="dxa" w:w="7030"/>
          </w:tcPr>
          <w:p>
            <w:r>
              <w:rPr>
                <w:sz w:val="17"/>
              </w:rPr>
              <w:t>Your rating, once you have one, is displayed as required.</w:t>
            </w:r>
          </w:p>
        </w:tc>
        <w:tc>
          <w:tcPr>
            <w:tcW w:type="dxa" w:w="1247"/>
          </w:tcPr>
          <w:p>
            <w:r>
              <w:rPr>
                <w:sz w:val="17"/>
              </w:rPr>
              <w:t>Reg 20A</w:t>
            </w:r>
          </w:p>
        </w:tc>
        <w:tc>
          <w:tcPr>
            <w:tcW w:type="dxa" w:w="1361"/>
          </w:tcPr>
          <w:p>
            <w:r>
              <w:rPr>
                <w:sz w:val="17"/>
              </w:rPr>
            </w:r>
          </w:p>
        </w:tc>
      </w:tr>
      <w:tr>
        <w:tc>
          <w:tcPr>
            <w:tcW w:type="dxa" w:w="567"/>
          </w:tcPr>
          <w:p>
            <w:r>
              <w:rPr>
                <w:sz w:val="17"/>
              </w:rPr>
              <w:t>42</w:t>
            </w:r>
          </w:p>
        </w:tc>
        <w:tc>
          <w:tcPr>
            <w:tcW w:type="dxa" w:w="7030"/>
          </w:tcPr>
          <w:p>
            <w:r>
              <w:rPr>
                <w:sz w:val="17"/>
              </w:rPr>
              <w:t>Someone other than the owner could find all of the above without being told where it is.</w:t>
            </w:r>
          </w:p>
        </w:tc>
        <w:tc>
          <w:tcPr>
            <w:tcW w:type="dxa" w:w="1247"/>
          </w:tcPr>
          <w:p>
            <w:r>
              <w:rPr>
                <w:sz w:val="17"/>
              </w:rPr>
              <w:t>Reg 17</w:t>
            </w:r>
          </w:p>
        </w:tc>
        <w:tc>
          <w:tcPr>
            <w:tcW w:type="dxa" w:w="1361"/>
          </w:tcPr>
          <w:p>
            <w:r>
              <w:rPr>
                <w:sz w:val="17"/>
              </w:rPr>
            </w:r>
          </w:p>
        </w:tc>
      </w:tr>
    </w:tbl>
    <w:p>
      <w:pPr>
        <w:spacing w:after="160"/>
      </w:pPr>
      <w:r>
        <w:rPr>
          <w:b/>
          <w:i w:val="0"/>
          <w:color w:val="0B1D3A"/>
          <w:sz w:val="18"/>
        </w:rPr>
        <w:t>Check 42 is the one that most often separates Good from Requires improvement. Evidence that only the owner can locate is evidence that the service depends on one person.</w:t>
      </w:r>
    </w:p>
    <w:p>
      <w:r>
        <w:br w:type="page"/>
      </w:r>
    </w:p>
    <w:p>
      <w:pPr>
        <w:spacing w:before="240" w:after="60"/>
      </w:pPr>
      <w:r>
        <w:rPr>
          <w:b/>
          <w:color w:val="0B1D3A"/>
          <w:sz w:val="26"/>
        </w:rPr>
        <w:t>What is changing, and when</w:t>
      </w:r>
    </w:p>
    <w:p>
      <w:pPr>
        <w:spacing w:after="100"/>
      </w:pPr>
      <w:r>
        <w:rPr>
          <w:b/>
          <w:i w:val="0"/>
          <w:sz w:val="18"/>
        </w:rPr>
        <w:t>Dated deliberately, because this is a moving picture. Correct as at 21 September 2026.</w:t>
      </w:r>
    </w:p>
    <w:p>
      <w:pPr>
        <w:spacing w:after="80"/>
      </w:pPr>
      <w:r>
        <w:rPr>
          <w:b w:val="0"/>
          <w:i w:val="0"/>
          <w:sz w:val="19"/>
        </w:rPr>
        <w:t>CQC is rebuilding how it assesses. On 19 March 2026 it published four draft sector-specific assessment frameworks for consultation, which closed on 12 June 2026. Three confirmed changes matter to you:</w:t>
      </w:r>
    </w:p>
    <w:p>
      <w:pPr>
        <w:pStyle w:val="ListBullet"/>
        <w:spacing w:after="60"/>
      </w:pPr>
      <w:r>
        <w:rPr>
          <w:sz w:val="19"/>
        </w:rPr>
        <w:t>Quality statements are being replaced by supporting key lines of enquiry — between three and seven under each key question.</w:t>
      </w:r>
    </w:p>
    <w:p>
      <w:pPr>
        <w:pStyle w:val="ListBullet"/>
        <w:spacing w:after="60"/>
      </w:pPr>
      <w:r>
        <w:rPr>
          <w:sz w:val="19"/>
        </w:rPr>
        <w:t>Scoring is being removed. Ratings will be reached "holistically using the professional judgement of our inspection teams".</w:t>
      </w:r>
    </w:p>
    <w:p>
      <w:pPr>
        <w:pStyle w:val="ListBullet"/>
        <w:spacing w:after="60"/>
      </w:pPr>
      <w:r>
        <w:rPr>
          <w:sz w:val="19"/>
        </w:rPr>
        <w:t>Ratings will be awarded only at the level of the five key questions, with no formal judgements below that. Which is why this toolkit is organised the way it is.</w:t>
      </w:r>
    </w:p>
    <w:p>
      <w:pPr>
        <w:spacing w:after="200"/>
      </w:pPr>
      <w:r>
        <w:rPr>
          <w:b w:val="0"/>
          <w:i w:val="0"/>
          <w:color w:val="6B7C91"/>
          <w:sz w:val="17"/>
        </w:rPr>
        <w:t>Two honest caveats. The drafts were still being piloted as of CQC's 27 August 2026 update, and no implementation date has been published. And CQC has said it is "actively exploring whether we should change the scope of the frameworks and how many we need" — so exactly which sector framework will cover independent healthcare clinics like yours is not yet settled. Nothing in this toolkit depends on that answer: the five key questions and the 2014 Regulations apply either way.</w:t>
      </w:r>
    </w:p>
    <w:p>
      <w:pPr>
        <w:spacing w:before="240" w:after="60"/>
      </w:pPr>
      <w:r>
        <w:rPr>
          <w:b/>
          <w:color w:val="0B1D3A"/>
          <w:sz w:val="26"/>
        </w:rPr>
        <w:t>Action log</w:t>
      </w:r>
    </w:p>
    <w:p>
      <w:pPr>
        <w:spacing w:after="120"/>
      </w:pPr>
      <w:r>
        <w:rPr>
          <w:b w:val="0"/>
          <w:i w:val="0"/>
          <w:sz w:val="19"/>
        </w:rPr>
        <w:t>Transfer every Partly evidenced and Not evidenced item here. Give each one a named owner and a date. An action log with owners and dates is itself evidence of good governance under Regulation 17.</w:t>
      </w:r>
    </w:p>
    <w:tbl>
      <w:tblPr>
        <w:tblStyle w:val="TableGrid"/>
        <w:tblW w:type="auto" w:w="0"/>
        <w:tblLook w:firstColumn="1" w:firstRow="1" w:lastColumn="0" w:lastRow="0" w:noHBand="0" w:noVBand="1" w:val="04A0"/>
      </w:tblPr>
      <w:tblGrid>
        <w:gridCol w:w="1506"/>
        <w:gridCol w:w="1506"/>
        <w:gridCol w:w="1506"/>
        <w:gridCol w:w="1506"/>
        <w:gridCol w:w="1506"/>
        <w:gridCol w:w="1506"/>
        <w:gridCol w:w="1506"/>
      </w:tblGrid>
      <w:tr>
        <w:tc>
          <w:tcPr>
            <w:tcW w:type="dxa" w:w="1506"/>
            <w:shd w:fill="F0F4F8"/>
          </w:tcPr>
          <w:p>
            <w:r>
              <w:rPr>
                <w:b/>
                <w:color w:val="0B1D3A"/>
                <w:sz w:val="15"/>
              </w:rPr>
              <w:t>#</w:t>
            </w:r>
          </w:p>
        </w:tc>
        <w:tc>
          <w:tcPr>
            <w:tcW w:type="dxa" w:w="1506"/>
            <w:shd w:fill="F0F4F8"/>
          </w:tcPr>
          <w:p>
            <w:r>
              <w:rPr>
                <w:b/>
                <w:color w:val="0B1D3A"/>
                <w:sz w:val="15"/>
              </w:rPr>
              <w:t>Check</w:t>
            </w:r>
          </w:p>
        </w:tc>
        <w:tc>
          <w:tcPr>
            <w:tcW w:type="dxa" w:w="1506"/>
            <w:shd w:fill="F0F4F8"/>
          </w:tcPr>
          <w:p>
            <w:r>
              <w:rPr>
                <w:b/>
                <w:color w:val="0B1D3A"/>
                <w:sz w:val="15"/>
              </w:rPr>
              <w:t>Mark</w:t>
            </w:r>
          </w:p>
        </w:tc>
        <w:tc>
          <w:tcPr>
            <w:tcW w:type="dxa" w:w="1506"/>
            <w:shd w:fill="F0F4F8"/>
          </w:tcPr>
          <w:p>
            <w:r>
              <w:rPr>
                <w:b/>
                <w:color w:val="0B1D3A"/>
                <w:sz w:val="15"/>
              </w:rPr>
              <w:t>Owner</w:t>
            </w:r>
          </w:p>
        </w:tc>
        <w:tc>
          <w:tcPr>
            <w:tcW w:type="dxa" w:w="1506"/>
            <w:shd w:fill="F0F4F8"/>
          </w:tcPr>
          <w:p>
            <w:r>
              <w:rPr>
                <w:b/>
                <w:color w:val="0B1D3A"/>
                <w:sz w:val="15"/>
              </w:rPr>
              <w:t>Evidence needed</w:t>
            </w:r>
          </w:p>
        </w:tc>
        <w:tc>
          <w:tcPr>
            <w:tcW w:type="dxa" w:w="1506"/>
            <w:shd w:fill="F0F4F8"/>
          </w:tcPr>
          <w:p>
            <w:r>
              <w:rPr>
                <w:b/>
                <w:color w:val="0B1D3A"/>
                <w:sz w:val="15"/>
              </w:rPr>
              <w:t>Date due</w:t>
            </w:r>
          </w:p>
        </w:tc>
        <w:tc>
          <w:tcPr>
            <w:tcW w:type="dxa" w:w="1506"/>
            <w:shd w:fill="F0F4F8"/>
          </w:tcPr>
          <w:p>
            <w:r>
              <w:rPr>
                <w:b/>
                <w:color w:val="0B1D3A"/>
                <w:sz w:val="15"/>
              </w:rPr>
              <w:t>Done</w:t>
            </w:r>
          </w:p>
        </w:tc>
      </w:tr>
      <w:tr>
        <w:tc>
          <w:tcPr>
            <w:tcW w:type="dxa" w:w="1506"/>
          </w:tcPr>
          <w:p>
            <w:r/>
          </w:p>
        </w:tc>
        <w:tc>
          <w:tcPr>
            <w:tcW w:type="dxa" w:w="1506"/>
          </w:tcPr>
          <w:p>
            <w:r/>
          </w:p>
        </w:tc>
        <w:tc>
          <w:tcPr>
            <w:tcW w:type="dxa" w:w="1506"/>
          </w:tcPr>
          <w:p>
            <w:r/>
          </w:p>
        </w:tc>
        <w:tc>
          <w:tcPr>
            <w:tcW w:type="dxa" w:w="1506"/>
          </w:tcPr>
          <w:p>
            <w:r/>
          </w:p>
        </w:tc>
        <w:tc>
          <w:tcPr>
            <w:tcW w:type="dxa" w:w="1506"/>
          </w:tcPr>
          <w:p>
            <w:r/>
          </w:p>
        </w:tc>
        <w:tc>
          <w:tcPr>
            <w:tcW w:type="dxa" w:w="1506"/>
          </w:tcPr>
          <w:p>
            <w:r/>
          </w:p>
        </w:tc>
        <w:tc>
          <w:tcPr>
            <w:tcW w:type="dxa" w:w="1506"/>
          </w:tcPr>
          <w:p>
            <w:r/>
          </w:p>
        </w:tc>
      </w:tr>
      <w:tr>
        <w:tc>
          <w:tcPr>
            <w:tcW w:type="dxa" w:w="1506"/>
          </w:tcPr>
          <w:p>
            <w:r/>
          </w:p>
        </w:tc>
        <w:tc>
          <w:tcPr>
            <w:tcW w:type="dxa" w:w="1506"/>
          </w:tcPr>
          <w:p>
            <w:r/>
          </w:p>
        </w:tc>
        <w:tc>
          <w:tcPr>
            <w:tcW w:type="dxa" w:w="1506"/>
          </w:tcPr>
          <w:p>
            <w:r/>
          </w:p>
        </w:tc>
        <w:tc>
          <w:tcPr>
            <w:tcW w:type="dxa" w:w="1506"/>
          </w:tcPr>
          <w:p>
            <w:r/>
          </w:p>
        </w:tc>
        <w:tc>
          <w:tcPr>
            <w:tcW w:type="dxa" w:w="1506"/>
          </w:tcPr>
          <w:p>
            <w:r/>
          </w:p>
        </w:tc>
        <w:tc>
          <w:tcPr>
            <w:tcW w:type="dxa" w:w="1506"/>
          </w:tcPr>
          <w:p>
            <w:r/>
          </w:p>
        </w:tc>
        <w:tc>
          <w:tcPr>
            <w:tcW w:type="dxa" w:w="1506"/>
          </w:tcPr>
          <w:p>
            <w:r/>
          </w:p>
        </w:tc>
      </w:tr>
      <w:tr>
        <w:tc>
          <w:tcPr>
            <w:tcW w:type="dxa" w:w="1506"/>
          </w:tcPr>
          <w:p>
            <w:r/>
          </w:p>
        </w:tc>
        <w:tc>
          <w:tcPr>
            <w:tcW w:type="dxa" w:w="1506"/>
          </w:tcPr>
          <w:p>
            <w:r/>
          </w:p>
        </w:tc>
        <w:tc>
          <w:tcPr>
            <w:tcW w:type="dxa" w:w="1506"/>
          </w:tcPr>
          <w:p>
            <w:r/>
          </w:p>
        </w:tc>
        <w:tc>
          <w:tcPr>
            <w:tcW w:type="dxa" w:w="1506"/>
          </w:tcPr>
          <w:p>
            <w:r/>
          </w:p>
        </w:tc>
        <w:tc>
          <w:tcPr>
            <w:tcW w:type="dxa" w:w="1506"/>
          </w:tcPr>
          <w:p>
            <w:r/>
          </w:p>
        </w:tc>
        <w:tc>
          <w:tcPr>
            <w:tcW w:type="dxa" w:w="1506"/>
          </w:tcPr>
          <w:p>
            <w:r/>
          </w:p>
        </w:tc>
        <w:tc>
          <w:tcPr>
            <w:tcW w:type="dxa" w:w="1506"/>
          </w:tcPr>
          <w:p>
            <w:r/>
          </w:p>
        </w:tc>
      </w:tr>
      <w:tr>
        <w:tc>
          <w:tcPr>
            <w:tcW w:type="dxa" w:w="1506"/>
          </w:tcPr>
          <w:p>
            <w:r/>
          </w:p>
        </w:tc>
        <w:tc>
          <w:tcPr>
            <w:tcW w:type="dxa" w:w="1506"/>
          </w:tcPr>
          <w:p>
            <w:r/>
          </w:p>
        </w:tc>
        <w:tc>
          <w:tcPr>
            <w:tcW w:type="dxa" w:w="1506"/>
          </w:tcPr>
          <w:p>
            <w:r/>
          </w:p>
        </w:tc>
        <w:tc>
          <w:tcPr>
            <w:tcW w:type="dxa" w:w="1506"/>
          </w:tcPr>
          <w:p>
            <w:r/>
          </w:p>
        </w:tc>
        <w:tc>
          <w:tcPr>
            <w:tcW w:type="dxa" w:w="1506"/>
          </w:tcPr>
          <w:p>
            <w:r/>
          </w:p>
        </w:tc>
        <w:tc>
          <w:tcPr>
            <w:tcW w:type="dxa" w:w="1506"/>
          </w:tcPr>
          <w:p>
            <w:r/>
          </w:p>
        </w:tc>
        <w:tc>
          <w:tcPr>
            <w:tcW w:type="dxa" w:w="1506"/>
          </w:tcPr>
          <w:p>
            <w:r/>
          </w:p>
        </w:tc>
      </w:tr>
      <w:tr>
        <w:tc>
          <w:tcPr>
            <w:tcW w:type="dxa" w:w="1506"/>
          </w:tcPr>
          <w:p>
            <w:r/>
          </w:p>
        </w:tc>
        <w:tc>
          <w:tcPr>
            <w:tcW w:type="dxa" w:w="1506"/>
          </w:tcPr>
          <w:p>
            <w:r/>
          </w:p>
        </w:tc>
        <w:tc>
          <w:tcPr>
            <w:tcW w:type="dxa" w:w="1506"/>
          </w:tcPr>
          <w:p>
            <w:r/>
          </w:p>
        </w:tc>
        <w:tc>
          <w:tcPr>
            <w:tcW w:type="dxa" w:w="1506"/>
          </w:tcPr>
          <w:p>
            <w:r/>
          </w:p>
        </w:tc>
        <w:tc>
          <w:tcPr>
            <w:tcW w:type="dxa" w:w="1506"/>
          </w:tcPr>
          <w:p>
            <w:r/>
          </w:p>
        </w:tc>
        <w:tc>
          <w:tcPr>
            <w:tcW w:type="dxa" w:w="1506"/>
          </w:tcPr>
          <w:p>
            <w:r/>
          </w:p>
        </w:tc>
        <w:tc>
          <w:tcPr>
            <w:tcW w:type="dxa" w:w="1506"/>
          </w:tcPr>
          <w:p>
            <w:r/>
          </w:p>
        </w:tc>
      </w:tr>
      <w:tr>
        <w:tc>
          <w:tcPr>
            <w:tcW w:type="dxa" w:w="1506"/>
          </w:tcPr>
          <w:p>
            <w:r/>
          </w:p>
        </w:tc>
        <w:tc>
          <w:tcPr>
            <w:tcW w:type="dxa" w:w="1506"/>
          </w:tcPr>
          <w:p>
            <w:r/>
          </w:p>
        </w:tc>
        <w:tc>
          <w:tcPr>
            <w:tcW w:type="dxa" w:w="1506"/>
          </w:tcPr>
          <w:p>
            <w:r/>
          </w:p>
        </w:tc>
        <w:tc>
          <w:tcPr>
            <w:tcW w:type="dxa" w:w="1506"/>
          </w:tcPr>
          <w:p>
            <w:r/>
          </w:p>
        </w:tc>
        <w:tc>
          <w:tcPr>
            <w:tcW w:type="dxa" w:w="1506"/>
          </w:tcPr>
          <w:p>
            <w:r/>
          </w:p>
        </w:tc>
        <w:tc>
          <w:tcPr>
            <w:tcW w:type="dxa" w:w="1506"/>
          </w:tcPr>
          <w:p>
            <w:r/>
          </w:p>
        </w:tc>
        <w:tc>
          <w:tcPr>
            <w:tcW w:type="dxa" w:w="1506"/>
          </w:tcPr>
          <w:p>
            <w:r/>
          </w:p>
        </w:tc>
      </w:tr>
      <w:tr>
        <w:tc>
          <w:tcPr>
            <w:tcW w:type="dxa" w:w="1506"/>
          </w:tcPr>
          <w:p>
            <w:r/>
          </w:p>
        </w:tc>
        <w:tc>
          <w:tcPr>
            <w:tcW w:type="dxa" w:w="1506"/>
          </w:tcPr>
          <w:p>
            <w:r/>
          </w:p>
        </w:tc>
        <w:tc>
          <w:tcPr>
            <w:tcW w:type="dxa" w:w="1506"/>
          </w:tcPr>
          <w:p>
            <w:r/>
          </w:p>
        </w:tc>
        <w:tc>
          <w:tcPr>
            <w:tcW w:type="dxa" w:w="1506"/>
          </w:tcPr>
          <w:p>
            <w:r/>
          </w:p>
        </w:tc>
        <w:tc>
          <w:tcPr>
            <w:tcW w:type="dxa" w:w="1506"/>
          </w:tcPr>
          <w:p>
            <w:r/>
          </w:p>
        </w:tc>
        <w:tc>
          <w:tcPr>
            <w:tcW w:type="dxa" w:w="1506"/>
          </w:tcPr>
          <w:p>
            <w:r/>
          </w:p>
        </w:tc>
        <w:tc>
          <w:tcPr>
            <w:tcW w:type="dxa" w:w="1506"/>
          </w:tcPr>
          <w:p>
            <w:r/>
          </w:p>
        </w:tc>
      </w:tr>
      <w:tr>
        <w:tc>
          <w:tcPr>
            <w:tcW w:type="dxa" w:w="1506"/>
          </w:tcPr>
          <w:p>
            <w:r/>
          </w:p>
        </w:tc>
        <w:tc>
          <w:tcPr>
            <w:tcW w:type="dxa" w:w="1506"/>
          </w:tcPr>
          <w:p>
            <w:r/>
          </w:p>
        </w:tc>
        <w:tc>
          <w:tcPr>
            <w:tcW w:type="dxa" w:w="1506"/>
          </w:tcPr>
          <w:p>
            <w:r/>
          </w:p>
        </w:tc>
        <w:tc>
          <w:tcPr>
            <w:tcW w:type="dxa" w:w="1506"/>
          </w:tcPr>
          <w:p>
            <w:r/>
          </w:p>
        </w:tc>
        <w:tc>
          <w:tcPr>
            <w:tcW w:type="dxa" w:w="1506"/>
          </w:tcPr>
          <w:p>
            <w:r/>
          </w:p>
        </w:tc>
        <w:tc>
          <w:tcPr>
            <w:tcW w:type="dxa" w:w="1506"/>
          </w:tcPr>
          <w:p>
            <w:r/>
          </w:p>
        </w:tc>
        <w:tc>
          <w:tcPr>
            <w:tcW w:type="dxa" w:w="1506"/>
          </w:tcPr>
          <w:p>
            <w:r/>
          </w:p>
        </w:tc>
      </w:tr>
      <w:tr>
        <w:tc>
          <w:tcPr>
            <w:tcW w:type="dxa" w:w="1506"/>
          </w:tcPr>
          <w:p>
            <w:r/>
          </w:p>
        </w:tc>
        <w:tc>
          <w:tcPr>
            <w:tcW w:type="dxa" w:w="1506"/>
          </w:tcPr>
          <w:p>
            <w:r/>
          </w:p>
        </w:tc>
        <w:tc>
          <w:tcPr>
            <w:tcW w:type="dxa" w:w="1506"/>
          </w:tcPr>
          <w:p>
            <w:r/>
          </w:p>
        </w:tc>
        <w:tc>
          <w:tcPr>
            <w:tcW w:type="dxa" w:w="1506"/>
          </w:tcPr>
          <w:p>
            <w:r/>
          </w:p>
        </w:tc>
        <w:tc>
          <w:tcPr>
            <w:tcW w:type="dxa" w:w="1506"/>
          </w:tcPr>
          <w:p>
            <w:r/>
          </w:p>
        </w:tc>
        <w:tc>
          <w:tcPr>
            <w:tcW w:type="dxa" w:w="1506"/>
          </w:tcPr>
          <w:p>
            <w:r/>
          </w:p>
        </w:tc>
        <w:tc>
          <w:tcPr>
            <w:tcW w:type="dxa" w:w="1506"/>
          </w:tcPr>
          <w:p>
            <w:r/>
          </w:p>
        </w:tc>
      </w:tr>
      <w:tr>
        <w:tc>
          <w:tcPr>
            <w:tcW w:type="dxa" w:w="1506"/>
          </w:tcPr>
          <w:p>
            <w:r/>
          </w:p>
        </w:tc>
        <w:tc>
          <w:tcPr>
            <w:tcW w:type="dxa" w:w="1506"/>
          </w:tcPr>
          <w:p>
            <w:r/>
          </w:p>
        </w:tc>
        <w:tc>
          <w:tcPr>
            <w:tcW w:type="dxa" w:w="1506"/>
          </w:tcPr>
          <w:p>
            <w:r/>
          </w:p>
        </w:tc>
        <w:tc>
          <w:tcPr>
            <w:tcW w:type="dxa" w:w="1506"/>
          </w:tcPr>
          <w:p>
            <w:r/>
          </w:p>
        </w:tc>
        <w:tc>
          <w:tcPr>
            <w:tcW w:type="dxa" w:w="1506"/>
          </w:tcPr>
          <w:p>
            <w:r/>
          </w:p>
        </w:tc>
        <w:tc>
          <w:tcPr>
            <w:tcW w:type="dxa" w:w="1506"/>
          </w:tcPr>
          <w:p>
            <w:r/>
          </w:p>
        </w:tc>
        <w:tc>
          <w:tcPr>
            <w:tcW w:type="dxa" w:w="1506"/>
          </w:tcPr>
          <w:p>
            <w:r/>
          </w:p>
        </w:tc>
      </w:tr>
      <w:tr>
        <w:tc>
          <w:tcPr>
            <w:tcW w:type="dxa" w:w="1506"/>
          </w:tcPr>
          <w:p>
            <w:r/>
          </w:p>
        </w:tc>
        <w:tc>
          <w:tcPr>
            <w:tcW w:type="dxa" w:w="1506"/>
          </w:tcPr>
          <w:p>
            <w:r/>
          </w:p>
        </w:tc>
        <w:tc>
          <w:tcPr>
            <w:tcW w:type="dxa" w:w="1506"/>
          </w:tcPr>
          <w:p>
            <w:r/>
          </w:p>
        </w:tc>
        <w:tc>
          <w:tcPr>
            <w:tcW w:type="dxa" w:w="1506"/>
          </w:tcPr>
          <w:p>
            <w:r/>
          </w:p>
        </w:tc>
        <w:tc>
          <w:tcPr>
            <w:tcW w:type="dxa" w:w="1506"/>
          </w:tcPr>
          <w:p>
            <w:r/>
          </w:p>
        </w:tc>
        <w:tc>
          <w:tcPr>
            <w:tcW w:type="dxa" w:w="1506"/>
          </w:tcPr>
          <w:p>
            <w:r/>
          </w:p>
        </w:tc>
        <w:tc>
          <w:tcPr>
            <w:tcW w:type="dxa" w:w="1506"/>
          </w:tcPr>
          <w:p>
            <w:r/>
          </w:p>
        </w:tc>
      </w:tr>
      <w:tr>
        <w:tc>
          <w:tcPr>
            <w:tcW w:type="dxa" w:w="1506"/>
          </w:tcPr>
          <w:p>
            <w:r/>
          </w:p>
        </w:tc>
        <w:tc>
          <w:tcPr>
            <w:tcW w:type="dxa" w:w="1506"/>
          </w:tcPr>
          <w:p>
            <w:r/>
          </w:p>
        </w:tc>
        <w:tc>
          <w:tcPr>
            <w:tcW w:type="dxa" w:w="1506"/>
          </w:tcPr>
          <w:p>
            <w:r/>
          </w:p>
        </w:tc>
        <w:tc>
          <w:tcPr>
            <w:tcW w:type="dxa" w:w="1506"/>
          </w:tcPr>
          <w:p>
            <w:r/>
          </w:p>
        </w:tc>
        <w:tc>
          <w:tcPr>
            <w:tcW w:type="dxa" w:w="1506"/>
          </w:tcPr>
          <w:p>
            <w:r/>
          </w:p>
        </w:tc>
        <w:tc>
          <w:tcPr>
            <w:tcW w:type="dxa" w:w="1506"/>
          </w:tcPr>
          <w:p>
            <w:r/>
          </w:p>
        </w:tc>
        <w:tc>
          <w:tcPr>
            <w:tcW w:type="dxa" w:w="1506"/>
          </w:tcPr>
          <w:p>
            <w:r/>
          </w:p>
        </w:tc>
      </w:tr>
      <w:tr>
        <w:tc>
          <w:tcPr>
            <w:tcW w:type="dxa" w:w="1506"/>
          </w:tcPr>
          <w:p>
            <w:r/>
          </w:p>
        </w:tc>
        <w:tc>
          <w:tcPr>
            <w:tcW w:type="dxa" w:w="1506"/>
          </w:tcPr>
          <w:p>
            <w:r/>
          </w:p>
        </w:tc>
        <w:tc>
          <w:tcPr>
            <w:tcW w:type="dxa" w:w="1506"/>
          </w:tcPr>
          <w:p>
            <w:r/>
          </w:p>
        </w:tc>
        <w:tc>
          <w:tcPr>
            <w:tcW w:type="dxa" w:w="1506"/>
          </w:tcPr>
          <w:p>
            <w:r/>
          </w:p>
        </w:tc>
        <w:tc>
          <w:tcPr>
            <w:tcW w:type="dxa" w:w="1506"/>
          </w:tcPr>
          <w:p>
            <w:r/>
          </w:p>
        </w:tc>
        <w:tc>
          <w:tcPr>
            <w:tcW w:type="dxa" w:w="1506"/>
          </w:tcPr>
          <w:p>
            <w:r/>
          </w:p>
        </w:tc>
        <w:tc>
          <w:tcPr>
            <w:tcW w:type="dxa" w:w="1506"/>
          </w:tcPr>
          <w:p>
            <w:r/>
          </w:p>
        </w:tc>
      </w:tr>
      <w:tr>
        <w:tc>
          <w:tcPr>
            <w:tcW w:type="dxa" w:w="1506"/>
          </w:tcPr>
          <w:p>
            <w:r/>
          </w:p>
        </w:tc>
        <w:tc>
          <w:tcPr>
            <w:tcW w:type="dxa" w:w="1506"/>
          </w:tcPr>
          <w:p>
            <w:r/>
          </w:p>
        </w:tc>
        <w:tc>
          <w:tcPr>
            <w:tcW w:type="dxa" w:w="1506"/>
          </w:tcPr>
          <w:p>
            <w:r/>
          </w:p>
        </w:tc>
        <w:tc>
          <w:tcPr>
            <w:tcW w:type="dxa" w:w="1506"/>
          </w:tcPr>
          <w:p>
            <w:r/>
          </w:p>
        </w:tc>
        <w:tc>
          <w:tcPr>
            <w:tcW w:type="dxa" w:w="1506"/>
          </w:tcPr>
          <w:p>
            <w:r/>
          </w:p>
        </w:tc>
        <w:tc>
          <w:tcPr>
            <w:tcW w:type="dxa" w:w="1506"/>
          </w:tcPr>
          <w:p>
            <w:r/>
          </w:p>
        </w:tc>
        <w:tc>
          <w:tcPr>
            <w:tcW w:type="dxa" w:w="1506"/>
          </w:tcPr>
          <w:p>
            <w:r/>
          </w:p>
        </w:tc>
      </w:tr>
    </w:tbl>
    <w:p>
      <w:pPr>
        <w:spacing w:after="100"/>
      </w:pPr>
      <w:r>
        <w:rPr>
          <w:b w:val="0"/>
          <w:i w:val="0"/>
          <w:sz w:val="19"/>
        </w:rPr>
      </w:r>
    </w:p>
    <w:p>
      <w:pPr>
        <w:spacing w:after="80"/>
      </w:pPr>
      <w:r>
        <w:rPr>
          <w:b w:val="0"/>
          <w:i w:val="0"/>
          <w:color w:val="6B7C91"/>
          <w:sz w:val="15"/>
        </w:rPr>
        <w:t>What this is. This toolkit supports inspection readiness and helps you evidence governance. It cannot guarantee a rating or a registration outcome, and no software or checklist can. It is general information for clinic owners and managers, not legal or regulatory advice, and it does not replace clinical judgement or CQC's own published guidance.</w:t>
      </w:r>
    </w:p>
    <w:p>
      <w:pPr>
        <w:spacing w:after="120"/>
      </w:pPr>
      <w:r>
        <w:rPr>
          <w:b w:val="0"/>
          <w:i w:val="0"/>
          <w:color w:val="6B7C91"/>
          <w:sz w:val="15"/>
        </w:rPr>
        <w:t>Sources. Figures are derived from CQC's public register and published ratings for aesthetic clinic locations in England, analysed by INTENTIQ in September 2026 (n=320 locations; n=153 with key-question ratings). Framework changes are quoted from CQC's consultation response and improvement updates at cqc.org.uk. Regulation references are to the Health and Social Care Act 2008 (Regulated Activities) Regulations 2014.</w:t>
      </w:r>
    </w:p>
    <w:p>
      <w:pPr>
        <w:spacing w:after="80"/>
      </w:pPr>
      <w:r>
        <w:rPr>
          <w:b/>
          <w:i w:val="0"/>
          <w:color w:val="0B1D3A"/>
          <w:sz w:val="18"/>
        </w:rPr>
        <w:t>Built by the team behind INTENTIQ — clinic governance software for UK aesthetic clinics. intentiq.co.uk · 0333 043 2226</w:t>
      </w:r>
    </w:p>
    <w:sectPr w:rsidR="00FC693F" w:rsidRPr="0006063C" w:rsidSect="00034616">
      <w:pgSz w:w="12240" w:h="15840"/>
      <w:pgMar w:top="907" w:right="850" w:bottom="907"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